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Proxy Statement Pursuant to Section 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the Securities Exchange Act of 1934 </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color w:val="000000"/>
          <w:sz w:val="20"/>
        </w:rPr>
        <w:t xml:space="preserve">Filed by the Registrant </w:t>
      </w:r>
      <w:r>
        <w:rPr>
          <w:color w:val="000000"/>
        </w:rPr>
        <w:t>☒            </w:t>
      </w: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Preliminary Proxy Statement </w:t>
      </w:r>
    </w:p>
    <w:p>
      <w:pPr>
        <w:pStyle w:val="TextBody"/>
        <w:bidi w:val="0"/>
        <w:spacing w:lineRule="auto" w:line="288" w:before="0" w:after="0"/>
        <w:jc w:val="left"/>
        <w:rPr/>
      </w:pPr>
      <w:r>
        <w:rPr>
          <w:color w:val="000000"/>
        </w:rPr>
        <w:t>☐    </w:t>
      </w:r>
      <w:r>
        <w:rPr>
          <w:rFonts w:ascii="Times New Roman;serif" w:hAnsi="Times New Roman;serif"/>
          <w:b/>
          <w:color w:val="000000"/>
          <w:sz w:val="20"/>
        </w:rPr>
        <w:t xml:space="preserve">Confidential, for Use of the Commission Only (as permitted by Rule 14a-6(e)(2))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Definitive Proxy Statement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Definitive Additional Materials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 240.14a-12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Assets Trust,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Person(s) Filing Proxy Statement, if other than the Registrant)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the appropriate box):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No fee required.</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Fee computed on table below per Exchange Act Rules 14a-6(i)(4) and 0-11.</w:t>
      </w:r>
    </w:p>
    <w:tbl>
      <w:tblPr>
        <w:tblW w:w="10205" w:type="dxa"/>
        <w:jc w:val="left"/>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Title of each class of securities to which transaction applies:</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Aggregate number of securities to which transaction applies:</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Per unit price or other underlying value of transaction computed pursuant to Exchange Act Rule 0-11 (set forth the amount on which the filing fee is calculated and state how it was determined):</w:t>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Proposed maximum aggregate value of transaction:</w:t>
            </w:r>
          </w:p>
        </w:tc>
      </w:tr>
      <w:tr>
        <w:trPr/>
        <w:tc>
          <w:tcPr>
            <w:tcW w:w="10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 Total fee paid:</w:t>
            </w:r>
          </w:p>
        </w:tc>
      </w:tr>
    </w:tbl>
    <w:p>
      <w:pPr>
        <w:pStyle w:val="TextBody"/>
        <w:bidi w:val="0"/>
        <w:spacing w:before="0" w:after="0"/>
        <w:jc w:val="left"/>
        <w:rPr/>
      </w:pPr>
      <w:r>
        <w:rPr/>
      </w:r>
    </w:p>
    <w:p>
      <w:pPr>
        <w:pStyle w:val="TextBody"/>
        <w:bidi w:val="0"/>
        <w:spacing w:lineRule="auto" w:line="288" w:before="0" w:after="240"/>
        <w:ind w:left="0" w:right="0" w:hanging="720"/>
        <w:jc w:val="left"/>
        <w:rPr/>
      </w:pPr>
      <w:r>
        <w:rPr>
          <w:color w:val="000000"/>
        </w:rPr>
        <w:t>☐    </w:t>
      </w:r>
      <w:r>
        <w:rPr>
          <w:rFonts w:ascii="Times New Roman;serif" w:hAnsi="Times New Roman;serif"/>
          <w:b w:val="false"/>
          <w:color w:val="000000"/>
          <w:sz w:val="20"/>
        </w:rPr>
        <w:t>Fee paid previously with preliminary materials:</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bl>
      <w:tblPr>
        <w:tblW w:w="4199" w:type="dxa"/>
        <w:jc w:val="left"/>
        <w:tblInd w:w="0" w:type="dxa"/>
        <w:tblLayout w:type="fixed"/>
        <w:tblCellMar>
          <w:top w:w="28" w:type="dxa"/>
          <w:left w:w="28" w:type="dxa"/>
          <w:bottom w:w="28" w:type="dxa"/>
          <w:right w:w="28" w:type="dxa"/>
        </w:tblCellMar>
      </w:tblPr>
      <w:tblGrid>
        <w:gridCol w:w="1342"/>
        <w:gridCol w:w="1179"/>
        <w:gridCol w:w="1678"/>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Amount previously paid:</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Form, Schedule or Registration Statement No.:</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Filing Party:</w:t>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Date Filed: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6515100" cy="3933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15100" cy="393382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515100" cy="4114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515100" cy="4114800"/>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515100" cy="3695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6515100" cy="3695700"/>
                    </a:xfrm>
                    <a:prstGeom prst="rect">
                      <a:avLst/>
                    </a:prstGeom>
                  </pic:spPr>
                </pic:pic>
              </a:graphicData>
            </a:graphic>
          </wp:inline>
        </w:drawing>
      </w:r>
    </w:p>
    <w:p>
      <w:pPr>
        <w:pStyle w:val="TextBody"/>
        <w:bidi w:val="0"/>
        <w:spacing w:before="0" w:after="0"/>
        <w:jc w:val="left"/>
        <w:rPr/>
      </w:pPr>
      <w:r>
        <w:rPr/>
        <w:drawing>
          <wp:inline distT="0" distB="0" distL="0" distR="0">
            <wp:extent cx="6515100" cy="2667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6515100" cy="266700"/>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260</Words>
  <Characters>1365</Characters>
  <CharactersWithSpaces>1640</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