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June 3, 2026</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14141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1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American Assets Trust, Inc.</w:t>
      </w:r>
    </w:p>
    <w:p>
      <w:pPr>
        <w:spacing w:after="0" w:line="5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44"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21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514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001-35030</w:t>
            </w:r>
          </w:p>
        </w:tc>
        <w:tc>
          <w:tcPr>
            <w:tcW w:w="174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27-3338708</w:t>
            </w:r>
          </w:p>
        </w:tc>
      </w:tr>
      <w:tr>
        <w:trPr>
          <w:trHeight w:val="168"/>
        </w:trPr>
        <w:tc>
          <w:tcPr>
            <w:tcW w:w="2180" w:type="dxa"/>
            <w:vAlign w:val="bottom"/>
          </w:tcPr>
          <w:p>
            <w:pPr>
              <w:jc w:val="center"/>
              <w:ind w:right="239"/>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5140" w:type="dxa"/>
            <w:vAlign w:val="bottom"/>
          </w:tcPr>
          <w:p>
            <w:pPr>
              <w:ind w:left="2020"/>
              <w:spacing w:after="0" w:line="168" w:lineRule="exact"/>
              <w:rPr>
                <w:sz w:val="20"/>
                <w:szCs w:val="20"/>
                <w:color w:val="auto"/>
              </w:rPr>
            </w:pPr>
            <w:r>
              <w:rPr>
                <w:rFonts w:ascii="Times New Roman" w:cs="Times New Roman" w:eastAsia="Times New Roman" w:hAnsi="Times New Roman"/>
                <w:sz w:val="16"/>
                <w:szCs w:val="16"/>
                <w:b w:val="1"/>
                <w:bCs w:val="1"/>
                <w:color w:val="auto"/>
              </w:rPr>
              <w:t>(Commission</w:t>
            </w:r>
          </w:p>
        </w:tc>
        <w:tc>
          <w:tcPr>
            <w:tcW w:w="1740" w:type="dxa"/>
            <w:vAlign w:val="bottom"/>
          </w:tcPr>
          <w:p>
            <w:pPr>
              <w:jc w:val="center"/>
              <w:ind w:left="339"/>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1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74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514"/>
        </w:trPr>
        <w:tc>
          <w:tcPr>
            <w:tcW w:w="2180" w:type="dxa"/>
            <w:vAlign w:val="bottom"/>
          </w:tcPr>
          <w:p>
            <w:pPr>
              <w:spacing w:after="0"/>
              <w:rPr>
                <w:sz w:val="24"/>
                <w:szCs w:val="24"/>
                <w:color w:val="auto"/>
              </w:rPr>
            </w:pPr>
          </w:p>
        </w:tc>
        <w:tc>
          <w:tcPr>
            <w:tcW w:w="51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3420 Carmel Mountain Road, Suite 100</w:t>
            </w:r>
          </w:p>
        </w:tc>
        <w:tc>
          <w:tcPr>
            <w:tcW w:w="1740" w:type="dxa"/>
            <w:vAlign w:val="bottom"/>
          </w:tcPr>
          <w:p>
            <w:pPr>
              <w:spacing w:after="0"/>
              <w:rPr>
                <w:sz w:val="24"/>
                <w:szCs w:val="24"/>
                <w:color w:val="auto"/>
              </w:rPr>
            </w:pPr>
          </w:p>
        </w:tc>
      </w:tr>
      <w:tr>
        <w:trPr>
          <w:trHeight w:val="189"/>
        </w:trPr>
        <w:tc>
          <w:tcPr>
            <w:tcW w:w="2180" w:type="dxa"/>
            <w:vAlign w:val="bottom"/>
          </w:tcPr>
          <w:p>
            <w:pPr>
              <w:spacing w:after="0"/>
              <w:rPr>
                <w:sz w:val="16"/>
                <w:szCs w:val="16"/>
                <w:color w:val="auto"/>
              </w:rPr>
            </w:pPr>
          </w:p>
        </w:tc>
        <w:tc>
          <w:tcPr>
            <w:tcW w:w="51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San Diego, California 92121</w:t>
            </w:r>
          </w:p>
        </w:tc>
        <w:tc>
          <w:tcPr>
            <w:tcW w:w="1740" w:type="dxa"/>
            <w:vAlign w:val="bottom"/>
          </w:tcPr>
          <w:p>
            <w:pPr>
              <w:spacing w:after="0"/>
              <w:rPr>
                <w:sz w:val="16"/>
                <w:szCs w:val="16"/>
                <w:color w:val="auto"/>
              </w:rPr>
            </w:pPr>
          </w:p>
        </w:tc>
      </w:tr>
      <w:tr>
        <w:trPr>
          <w:trHeight w:val="212"/>
        </w:trPr>
        <w:tc>
          <w:tcPr>
            <w:tcW w:w="2180" w:type="dxa"/>
            <w:vAlign w:val="bottom"/>
          </w:tcPr>
          <w:p>
            <w:pPr>
              <w:spacing w:after="0"/>
              <w:rPr>
                <w:sz w:val="18"/>
                <w:szCs w:val="18"/>
                <w:color w:val="auto"/>
              </w:rPr>
            </w:pPr>
          </w:p>
        </w:tc>
        <w:tc>
          <w:tcPr>
            <w:tcW w:w="51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1740" w:type="dxa"/>
            <w:vAlign w:val="bottom"/>
          </w:tcPr>
          <w:p>
            <w:pPr>
              <w:spacing w:after="0"/>
              <w:rPr>
                <w:sz w:val="18"/>
                <w:szCs w:val="18"/>
                <w:color w:val="auto"/>
              </w:rPr>
            </w:pPr>
          </w:p>
        </w:tc>
      </w:tr>
      <w:tr>
        <w:trPr>
          <w:trHeight w:val="449"/>
        </w:trPr>
        <w:tc>
          <w:tcPr>
            <w:tcW w:w="2180" w:type="dxa"/>
            <w:vAlign w:val="bottom"/>
          </w:tcPr>
          <w:p>
            <w:pPr>
              <w:spacing w:after="0"/>
              <w:rPr>
                <w:sz w:val="24"/>
                <w:szCs w:val="24"/>
                <w:color w:val="auto"/>
              </w:rPr>
            </w:pPr>
          </w:p>
        </w:tc>
        <w:tc>
          <w:tcPr>
            <w:tcW w:w="51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(858) 350-2600</w:t>
            </w:r>
          </w:p>
        </w:tc>
        <w:tc>
          <w:tcPr>
            <w:tcW w:w="1740" w:type="dxa"/>
            <w:vAlign w:val="bottom"/>
          </w:tcPr>
          <w:p>
            <w:pPr>
              <w:spacing w:after="0"/>
              <w:rPr>
                <w:sz w:val="24"/>
                <w:szCs w:val="24"/>
                <w:color w:val="auto"/>
              </w:rPr>
            </w:pPr>
          </w:p>
        </w:tc>
      </w:tr>
      <w:tr>
        <w:trPr>
          <w:trHeight w:val="212"/>
        </w:trPr>
        <w:tc>
          <w:tcPr>
            <w:tcW w:w="2180" w:type="dxa"/>
            <w:vAlign w:val="bottom"/>
          </w:tcPr>
          <w:p>
            <w:pPr>
              <w:spacing w:after="0"/>
              <w:rPr>
                <w:sz w:val="18"/>
                <w:szCs w:val="18"/>
                <w:color w:val="auto"/>
              </w:rPr>
            </w:pPr>
          </w:p>
        </w:tc>
        <w:tc>
          <w:tcPr>
            <w:tcW w:w="51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740" w:type="dxa"/>
            <w:vAlign w:val="bottom"/>
          </w:tcPr>
          <w:p>
            <w:pPr>
              <w:spacing w:after="0"/>
              <w:rPr>
                <w:sz w:val="18"/>
                <w:szCs w:val="18"/>
                <w:color w:val="auto"/>
              </w:rPr>
            </w:pPr>
          </w:p>
        </w:tc>
      </w:tr>
      <w:tr>
        <w:trPr>
          <w:trHeight w:val="409"/>
        </w:trPr>
        <w:tc>
          <w:tcPr>
            <w:tcW w:w="2180" w:type="dxa"/>
            <w:vAlign w:val="bottom"/>
          </w:tcPr>
          <w:p>
            <w:pPr>
              <w:spacing w:after="0"/>
              <w:rPr>
                <w:sz w:val="24"/>
                <w:szCs w:val="24"/>
                <w:color w:val="auto"/>
              </w:rPr>
            </w:pPr>
          </w:p>
        </w:tc>
        <w:tc>
          <w:tcPr>
            <w:tcW w:w="51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740" w:type="dxa"/>
            <w:vAlign w:val="bottom"/>
          </w:tcPr>
          <w:p>
            <w:pPr>
              <w:spacing w:after="0"/>
              <w:rPr>
                <w:sz w:val="24"/>
                <w:szCs w:val="24"/>
                <w:color w:val="auto"/>
              </w:rPr>
            </w:pPr>
          </w:p>
        </w:tc>
      </w:tr>
      <w:tr>
        <w:trPr>
          <w:trHeight w:val="212"/>
        </w:trPr>
        <w:tc>
          <w:tcPr>
            <w:tcW w:w="2180" w:type="dxa"/>
            <w:vAlign w:val="bottom"/>
          </w:tcPr>
          <w:p>
            <w:pPr>
              <w:spacing w:after="0"/>
              <w:rPr>
                <w:sz w:val="18"/>
                <w:szCs w:val="18"/>
                <w:color w:val="auto"/>
              </w:rPr>
            </w:pPr>
          </w:p>
        </w:tc>
        <w:tc>
          <w:tcPr>
            <w:tcW w:w="51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tc>
        <w:tc>
          <w:tcPr>
            <w:tcW w:w="1740" w:type="dxa"/>
            <w:vAlign w:val="bottom"/>
          </w:tcPr>
          <w:p>
            <w:pPr>
              <w:spacing w:after="0"/>
              <w:rPr>
                <w:sz w:val="18"/>
                <w:szCs w:val="18"/>
                <w:color w:val="auto"/>
              </w:rPr>
            </w:pPr>
          </w:p>
        </w:tc>
      </w:tr>
    </w:tbl>
    <w:p>
      <w:pPr>
        <w:spacing w:after="0" w:line="200" w:lineRule="exact"/>
        <w:rPr>
          <w:sz w:val="24"/>
          <w:szCs w:val="24"/>
          <w:color w:val="auto"/>
        </w:rPr>
      </w:pPr>
    </w:p>
    <w:p>
      <w:pPr>
        <w:spacing w:after="0" w:line="2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5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0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9"/>
              </w:rPr>
              <w:t>Name of Registrant</w:t>
            </w:r>
          </w:p>
        </w:tc>
        <w:tc>
          <w:tcPr>
            <w:tcW w:w="1180" w:type="dxa"/>
            <w:vAlign w:val="bottom"/>
          </w:tcPr>
          <w:p>
            <w:pPr>
              <w:spacing w:after="0"/>
              <w:rPr>
                <w:sz w:val="17"/>
                <w:szCs w:val="17"/>
                <w:color w:val="auto"/>
              </w:rPr>
            </w:pPr>
          </w:p>
        </w:tc>
        <w:tc>
          <w:tcPr>
            <w:tcW w:w="244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860"/>
              <w:spacing w:after="0" w:line="142" w:lineRule="exact"/>
              <w:rPr>
                <w:sz w:val="20"/>
                <w:szCs w:val="20"/>
                <w:color w:val="auto"/>
              </w:rPr>
            </w:pPr>
            <w:r>
              <w:rPr>
                <w:rFonts w:ascii="Times New Roman" w:cs="Times New Roman" w:eastAsia="Times New Roman" w:hAnsi="Times New Roman"/>
                <w:sz w:val="16"/>
                <w:szCs w:val="16"/>
                <w:color w:val="auto"/>
              </w:rPr>
              <w:t>registered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American Assets Trust, Inc.</w:t>
            </w: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0" w:type="dxa"/>
            <w:vAlign w:val="bottom"/>
          </w:tcPr>
          <w:p>
            <w:pPr>
              <w:spacing w:after="0"/>
              <w:rPr>
                <w:sz w:val="22"/>
                <w:szCs w:val="22"/>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AAT</w:t>
            </w:r>
          </w:p>
        </w:tc>
        <w:tc>
          <w:tcPr>
            <w:tcW w:w="360" w:type="dxa"/>
            <w:vAlign w:val="bottom"/>
          </w:tcPr>
          <w:p>
            <w:pPr>
              <w:spacing w:after="0"/>
              <w:rPr>
                <w:sz w:val="22"/>
                <w:szCs w:val="22"/>
                <w:color w:val="auto"/>
              </w:rPr>
            </w:pPr>
          </w:p>
        </w:tc>
        <w:tc>
          <w:tcPr>
            <w:tcW w:w="24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76"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1131570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2" w:name="page3"/>
    <w:bookmarkEnd w:id="2"/>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information is being furnished and shall not be deemed “filed” for purposes of Section 18 of the Securities Exchange Act of 1934, as amended, or otherwise subjected to the liabilities of that section. Such information shall not be incorporated by reference into any filing of American Assets Trust, Inc. (the “Company”), whether made before or after the date hereof, regardless of any general incorporation language in such filing.</w:t>
      </w:r>
    </w:p>
    <w:p>
      <w:pPr>
        <w:spacing w:after="0" w:line="204"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 xml:space="preserve">Members of the Company's senior management team will be meeting with certain investors and analysts on June 3, 2026 in connection with the NAREIT REITweek Conference. The materials being presented to such investors are available on the “Investors / Presentations &amp; Events” page of the Company's website at </w:t>
      </w:r>
      <w:r>
        <w:rPr>
          <w:rFonts w:ascii="Times New Roman" w:cs="Times New Roman" w:eastAsia="Times New Roman" w:hAnsi="Times New Roman"/>
          <w:sz w:val="18"/>
          <w:szCs w:val="18"/>
          <w:u w:val="single" w:color="auto"/>
          <w:color w:val="071DFF"/>
        </w:rPr>
        <w:t>www.americanassetstrust.com.</w:t>
      </w:r>
      <w:r>
        <w:rPr>
          <w:rFonts w:ascii="Times New Roman" w:cs="Times New Roman" w:eastAsia="Times New Roman" w:hAnsi="Times New Roman"/>
          <w:sz w:val="18"/>
          <w:szCs w:val="18"/>
          <w:color w:val="auto"/>
        </w:rPr>
        <w:t xml:space="preserve"> The information found on, or otherwise accessible through, the Company's website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239" w:lineRule="exact"/>
        <w:rPr>
          <w:sz w:val="20"/>
          <w:szCs w:val="20"/>
          <w:color w:val="auto"/>
        </w:rPr>
      </w:pPr>
    </w:p>
    <w:p>
      <w:pPr>
        <w:ind w:left="5760"/>
        <w:spacing w:after="0"/>
        <w:tabs>
          <w:tab w:leader="none" w:pos="6240" w:val="left"/>
        </w:tabs>
        <w:rPr>
          <w:sz w:val="20"/>
          <w:szCs w:val="20"/>
          <w:color w:val="auto"/>
        </w:rPr>
      </w:pPr>
      <w:r>
        <w:rPr>
          <w:rFonts w:ascii="Times New Roman" w:cs="Times New Roman" w:eastAsia="Times New Roman" w:hAnsi="Times New Roman"/>
          <w:sz w:val="18"/>
          <w:szCs w:val="18"/>
          <w:color w:val="auto"/>
        </w:rPr>
        <w:t>By:</w:t>
        <w:tab/>
        <w:t>/s/ Robert F. Barton</w:t>
      </w:r>
    </w:p>
    <w:p>
      <w:pPr>
        <w:spacing w:after="0" w:line="22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-127635</wp:posOffset>
            </wp:positionV>
            <wp:extent cx="3171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9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8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 Description</w:t>
            </w:r>
          </w:p>
        </w:tc>
      </w:tr>
      <w:tr>
        <w:trPr>
          <w:trHeight w:val="27"/>
        </w:trPr>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r>
      <w:tr>
        <w:trPr>
          <w:trHeight w:val="203"/>
        </w:trPr>
        <w:tc>
          <w:tcPr>
            <w:tcW w:w="64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25" w:lineRule="exact"/>
        <w:rPr>
          <w:sz w:val="20"/>
          <w:szCs w:val="20"/>
          <w:color w:val="auto"/>
        </w:rPr>
      </w:pPr>
    </w:p>
    <w:p>
      <w:pPr>
        <w:ind w:left="1380" w:hanging="994"/>
        <w:spacing w:after="0"/>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XBRL tags are embedded within the Inline XBRL document).</w:t>
      </w:r>
    </w:p>
    <w:p>
      <w:pPr>
        <w:spacing w:after="0" w:line="1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2026-06-03T07:02:35Z</dcterms:created>
  <dcterms:modified xsi:type="dcterms:W3CDTF">2026-06-03T07:02:35Z</dcterms:modified>
</cp:coreProperties>
</file>