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Washington, D.C. 20549</w:t>
      </w:r>
    </w:p>
    <w:p>
      <w:pPr>
        <w:spacing w:after="0" w:line="204"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Schedule 13G</w:t>
      </w:r>
    </w:p>
    <w:p>
      <w:pPr>
        <w:spacing w:after="0" w:line="215"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Under the Securities Exchange Act of 1934</w:t>
      </w:r>
    </w:p>
    <w:p>
      <w:pPr>
        <w:spacing w:after="0" w:line="21"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(Amendment No.:2)*</w:t>
      </w:r>
    </w:p>
    <w:p>
      <w:pPr>
        <w:spacing w:after="0" w:line="200" w:lineRule="exact"/>
        <w:rPr>
          <w:sz w:val="24"/>
          <w:szCs w:val="24"/>
          <w:color w:val="auto"/>
        </w:rPr>
      </w:pPr>
    </w:p>
    <w:p>
      <w:pPr>
        <w:spacing w:after="0" w:line="200" w:lineRule="exact"/>
        <w:rPr>
          <w:sz w:val="24"/>
          <w:szCs w:val="24"/>
          <w:color w:val="auto"/>
        </w:rPr>
      </w:pPr>
    </w:p>
    <w:p>
      <w:pPr>
        <w:spacing w:after="0" w:line="214" w:lineRule="exact"/>
        <w:rPr>
          <w:sz w:val="24"/>
          <w:szCs w:val="24"/>
          <w:color w:val="auto"/>
        </w:rPr>
      </w:pPr>
    </w:p>
    <w:p>
      <w:pPr>
        <w:spacing w:after="0"/>
        <w:rPr>
          <w:sz w:val="20"/>
          <w:szCs w:val="20"/>
          <w:color w:val="auto"/>
        </w:rPr>
      </w:pPr>
      <w:r>
        <w:rPr>
          <w:rFonts w:ascii="Arial" w:cs="Arial" w:eastAsia="Arial" w:hAnsi="Arial"/>
          <w:sz w:val="17"/>
          <w:szCs w:val="17"/>
          <w:color w:val="auto"/>
        </w:rPr>
        <w:t>Name of issuer: American Assets Trust Inc</w:t>
      </w:r>
    </w:p>
    <w:p>
      <w:pPr>
        <w:spacing w:after="0" w:line="200" w:lineRule="exact"/>
        <w:rPr>
          <w:sz w:val="24"/>
          <w:szCs w:val="24"/>
          <w:color w:val="auto"/>
        </w:rPr>
      </w:pPr>
    </w:p>
    <w:p>
      <w:pPr>
        <w:spacing w:after="0" w:line="220" w:lineRule="exact"/>
        <w:rPr>
          <w:sz w:val="24"/>
          <w:szCs w:val="24"/>
          <w:color w:val="auto"/>
        </w:rPr>
      </w:pPr>
    </w:p>
    <w:p>
      <w:pPr>
        <w:spacing w:after="0"/>
        <w:rPr>
          <w:sz w:val="20"/>
          <w:szCs w:val="20"/>
          <w:color w:val="auto"/>
        </w:rPr>
      </w:pPr>
      <w:r>
        <w:rPr>
          <w:rFonts w:ascii="Arial" w:cs="Arial" w:eastAsia="Arial" w:hAnsi="Arial"/>
          <w:sz w:val="17"/>
          <w:szCs w:val="17"/>
          <w:color w:val="auto"/>
        </w:rPr>
        <w:t>Title of Class of Securities: REIT</w:t>
      </w:r>
    </w:p>
    <w:p>
      <w:pPr>
        <w:spacing w:after="0" w:line="200" w:lineRule="exact"/>
        <w:rPr>
          <w:sz w:val="24"/>
          <w:szCs w:val="24"/>
          <w:color w:val="auto"/>
        </w:rPr>
      </w:pPr>
    </w:p>
    <w:p>
      <w:pPr>
        <w:spacing w:after="0" w:line="220" w:lineRule="exact"/>
        <w:rPr>
          <w:sz w:val="24"/>
          <w:szCs w:val="24"/>
          <w:color w:val="auto"/>
        </w:rPr>
      </w:pPr>
    </w:p>
    <w:p>
      <w:pPr>
        <w:spacing w:after="0"/>
        <w:rPr>
          <w:sz w:val="20"/>
          <w:szCs w:val="20"/>
          <w:color w:val="auto"/>
        </w:rPr>
      </w:pPr>
      <w:r>
        <w:rPr>
          <w:rFonts w:ascii="Arial" w:cs="Arial" w:eastAsia="Arial" w:hAnsi="Arial"/>
          <w:sz w:val="17"/>
          <w:szCs w:val="17"/>
          <w:color w:val="auto"/>
        </w:rPr>
        <w:t>CUSIP Number: 024013104</w:t>
      </w:r>
    </w:p>
    <w:p>
      <w:pPr>
        <w:spacing w:after="0" w:line="200" w:lineRule="exact"/>
        <w:rPr>
          <w:sz w:val="24"/>
          <w:szCs w:val="24"/>
          <w:color w:val="auto"/>
        </w:rPr>
      </w:pPr>
    </w:p>
    <w:p>
      <w:pPr>
        <w:spacing w:after="0" w:line="216" w:lineRule="exact"/>
        <w:rPr>
          <w:sz w:val="24"/>
          <w:szCs w:val="24"/>
          <w:color w:val="auto"/>
        </w:rPr>
      </w:pPr>
    </w:p>
    <w:p>
      <w:pPr>
        <w:spacing w:after="0"/>
        <w:rPr>
          <w:sz w:val="20"/>
          <w:szCs w:val="20"/>
          <w:color w:val="auto"/>
        </w:rPr>
      </w:pPr>
      <w:r>
        <w:rPr>
          <w:rFonts w:ascii="Arial" w:cs="Arial" w:eastAsia="Arial" w:hAnsi="Arial"/>
          <w:sz w:val="17"/>
          <w:szCs w:val="17"/>
          <w:color w:val="auto"/>
        </w:rPr>
        <w:t xml:space="preserve">Date of Event Which Requires Filing of this Statement: </w:t>
      </w:r>
      <w:r>
        <w:rPr>
          <w:rFonts w:ascii="Arial" w:cs="Arial" w:eastAsia="Arial" w:hAnsi="Arial"/>
          <w:sz w:val="17"/>
          <w:szCs w:val="17"/>
          <w:b w:val="1"/>
          <w:bCs w:val="1"/>
          <w:color w:val="auto"/>
        </w:rPr>
        <w:t>December 31, 2013</w:t>
      </w:r>
    </w:p>
    <w:p>
      <w:pPr>
        <w:spacing w:after="0" w:line="219"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 to designate the rule pursuant to which this Schedule is filed:</w:t>
      </w:r>
    </w:p>
    <w:p>
      <w:pPr>
        <w:spacing w:after="0" w:line="21" w:lineRule="exact"/>
        <w:rPr>
          <w:sz w:val="24"/>
          <w:szCs w:val="24"/>
          <w:color w:val="auto"/>
        </w:rPr>
      </w:pPr>
    </w:p>
    <w:p>
      <w:pPr>
        <w:jc w:val="both"/>
        <w:ind w:left="80" w:right="9920" w:firstLine="8"/>
        <w:spacing w:after="0" w:line="281" w:lineRule="auto"/>
        <w:tabs>
          <w:tab w:leader="none" w:pos="360" w:val="left"/>
        </w:tabs>
        <w:numPr>
          <w:ilvl w:val="0"/>
          <w:numId w:val="1"/>
        </w:numPr>
        <w:rPr>
          <w:rFonts w:ascii="Arial" w:cs="Arial" w:eastAsia="Arial" w:hAnsi="Arial"/>
          <w:sz w:val="16"/>
          <w:szCs w:val="16"/>
          <w:color w:val="auto"/>
        </w:rPr>
      </w:pPr>
      <w:r>
        <w:rPr>
          <w:rFonts w:ascii="Arial" w:cs="Arial" w:eastAsia="Arial" w:hAnsi="Arial"/>
          <w:sz w:val="16"/>
          <w:szCs w:val="16"/>
          <w:color w:val="auto"/>
        </w:rPr>
        <w:t>Rule 13d-1(b) ( ) Rule 13d-1(c) ( ) Rule 13d-1(d)</w:t>
      </w:r>
    </w:p>
    <w:p>
      <w:pPr>
        <w:spacing w:after="0" w:line="163" w:lineRule="exact"/>
        <w:rPr>
          <w:sz w:val="24"/>
          <w:szCs w:val="24"/>
          <w:color w:val="auto"/>
        </w:rPr>
      </w:pPr>
    </w:p>
    <w:p>
      <w:pPr>
        <w:ind w:right="300" w:firstLine="85"/>
        <w:spacing w:after="0" w:line="277"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4" w:lineRule="exact"/>
        <w:rPr>
          <w:sz w:val="24"/>
          <w:szCs w:val="24"/>
          <w:color w:val="auto"/>
        </w:rPr>
      </w:pPr>
    </w:p>
    <w:p>
      <w:pPr>
        <w:ind w:firstLine="82"/>
        <w:spacing w:after="0" w:line="309"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47" w:lineRule="exact"/>
        <w:rPr>
          <w:sz w:val="24"/>
          <w:szCs w:val="24"/>
          <w:color w:val="auto"/>
        </w:rPr>
      </w:pPr>
    </w:p>
    <w:p>
      <w:pPr>
        <w:spacing w:after="0"/>
        <w:rPr>
          <w:sz w:val="20"/>
          <w:szCs w:val="20"/>
          <w:color w:val="auto"/>
        </w:rPr>
      </w:pPr>
      <w:r>
        <w:rPr>
          <w:rFonts w:ascii="Arial" w:cs="Arial" w:eastAsia="Arial" w:hAnsi="Arial"/>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353695</wp:posOffset>
            </wp:positionV>
            <wp:extent cx="7274560"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4560" cy="20955"/>
                    </a:xfrm>
                    <a:prstGeom prst="rect">
                      <a:avLst/>
                    </a:prstGeom>
                    <a:noFill/>
                  </pic:spPr>
                </pic:pic>
              </a:graphicData>
            </a:graphic>
          </wp:anchor>
        </w:drawing>
      </w:r>
    </w:p>
    <w:p>
      <w:pPr>
        <w:sectPr>
          <w:pgSz w:w="11900" w:h="16838" w:orient="portrait"/>
          <w:cols w:equalWidth="0" w:num="1">
            <w:col w:w="11260"/>
          </w:cols>
          <w:pgMar w:left="240" w:top="460" w:right="399" w:bottom="1440" w:gutter="0" w:footer="0" w:header="0"/>
        </w:sectPr>
      </w:pPr>
    </w:p>
    <w:bookmarkStart w:id="1" w:name="page2"/>
    <w:bookmarkEnd w:id="1"/>
    <w:p>
      <w:pPr>
        <w:ind w:left="5560"/>
        <w:spacing w:after="0"/>
        <w:rPr>
          <w:sz w:val="20"/>
          <w:szCs w:val="20"/>
          <w:color w:val="auto"/>
        </w:rPr>
      </w:pPr>
      <w:r>
        <w:rPr>
          <w:rFonts w:ascii="Arial" w:cs="Arial" w:eastAsia="Arial" w:hAnsi="Arial"/>
          <w:sz w:val="17"/>
          <w:szCs w:val="17"/>
          <w:color w:val="auto"/>
        </w:rPr>
        <w:t>13G</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CUSIP No.: 024013104</w:t>
      </w:r>
    </w:p>
    <w:p>
      <w:pPr>
        <w:spacing w:after="0" w:line="200" w:lineRule="exact"/>
        <w:rPr>
          <w:sz w:val="20"/>
          <w:szCs w:val="20"/>
          <w:color w:val="auto"/>
        </w:rPr>
      </w:pPr>
    </w:p>
    <w:p>
      <w:pPr>
        <w:spacing w:after="0" w:line="209" w:lineRule="exact"/>
        <w:rPr>
          <w:sz w:val="20"/>
          <w:szCs w:val="20"/>
          <w:color w:val="auto"/>
        </w:rPr>
      </w:pPr>
    </w:p>
    <w:p>
      <w:pPr>
        <w:ind w:left="220" w:hanging="217"/>
        <w:spacing w:after="0"/>
        <w:tabs>
          <w:tab w:leader="none" w:pos="220" w:val="left"/>
        </w:tabs>
        <w:numPr>
          <w:ilvl w:val="0"/>
          <w:numId w:val="2"/>
        </w:numPr>
        <w:rPr>
          <w:rFonts w:ascii="Arial" w:cs="Arial" w:eastAsia="Arial" w:hAnsi="Arial"/>
          <w:sz w:val="17"/>
          <w:szCs w:val="17"/>
          <w:color w:val="auto"/>
        </w:rPr>
      </w:pPr>
      <w:r>
        <w:rPr>
          <w:rFonts w:ascii="Arial" w:cs="Arial" w:eastAsia="Arial" w:hAnsi="Arial"/>
          <w:sz w:val="17"/>
          <w:szCs w:val="17"/>
          <w:color w:val="auto"/>
        </w:rPr>
        <w:t>NAME OF REPORTING PERSON</w:t>
      </w:r>
    </w:p>
    <w:p>
      <w:pPr>
        <w:spacing w:after="0" w:line="20" w:lineRule="exact"/>
        <w:rPr>
          <w:rFonts w:ascii="Arial" w:cs="Arial" w:eastAsia="Arial" w:hAnsi="Arial"/>
          <w:sz w:val="17"/>
          <w:szCs w:val="17"/>
          <w:color w:val="auto"/>
        </w:rPr>
      </w:pPr>
    </w:p>
    <w:p>
      <w:pPr>
        <w:ind w:left="80"/>
        <w:spacing w:after="0"/>
        <w:rPr>
          <w:rFonts w:ascii="Arial" w:cs="Arial" w:eastAsia="Arial" w:hAnsi="Arial"/>
          <w:sz w:val="17"/>
          <w:szCs w:val="17"/>
          <w:color w:val="auto"/>
        </w:rPr>
      </w:pPr>
      <w:r>
        <w:rPr>
          <w:rFonts w:ascii="Arial" w:cs="Arial" w:eastAsia="Arial" w:hAnsi="Arial"/>
          <w:sz w:val="17"/>
          <w:szCs w:val="17"/>
          <w:color w:val="auto"/>
        </w:rPr>
        <w:t>S.S. OR I.R.S. IDENTIFICATION NO. OF ABOVE PERSON</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00" w:type="dxa"/>
            <w:vAlign w:val="bottom"/>
            <w:gridSpan w:val="2"/>
          </w:tcPr>
          <w:p>
            <w:pPr>
              <w:ind w:left="80"/>
              <w:spacing w:after="0"/>
              <w:rPr>
                <w:sz w:val="20"/>
                <w:szCs w:val="20"/>
                <w:color w:val="auto"/>
              </w:rPr>
            </w:pPr>
            <w:r>
              <w:rPr>
                <w:rFonts w:ascii="Arial" w:cs="Arial" w:eastAsia="Arial" w:hAnsi="Arial"/>
                <w:sz w:val="17"/>
                <w:szCs w:val="17"/>
                <w:color w:val="auto"/>
                <w:w w:val="97"/>
              </w:rPr>
              <w:t>VANGUARD SPECIALIZED FUNDS - VANGUARD REIT INDEX FUND - 23-2834924</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410"/>
        </w:trPr>
        <w:tc>
          <w:tcPr>
            <w:tcW w:w="180" w:type="dxa"/>
            <w:vAlign w:val="bottom"/>
          </w:tcPr>
          <w:p>
            <w:pPr>
              <w:jc w:val="right"/>
              <w:spacing w:after="0"/>
              <w:rPr>
                <w:sz w:val="20"/>
                <w:szCs w:val="20"/>
                <w:color w:val="auto"/>
              </w:rPr>
            </w:pPr>
            <w:r>
              <w:rPr>
                <w:rFonts w:ascii="Arial" w:cs="Arial" w:eastAsia="Arial" w:hAnsi="Arial"/>
                <w:sz w:val="17"/>
                <w:szCs w:val="17"/>
                <w:color w:val="auto"/>
                <w:w w:val="84"/>
              </w:rPr>
              <w:t>2.</w:t>
            </w:r>
          </w:p>
        </w:tc>
        <w:tc>
          <w:tcPr>
            <w:tcW w:w="6220" w:type="dxa"/>
            <w:vAlign w:val="bottom"/>
          </w:tcPr>
          <w:p>
            <w:pPr>
              <w:ind w:left="40"/>
              <w:spacing w:after="0"/>
              <w:rPr>
                <w:sz w:val="20"/>
                <w:szCs w:val="20"/>
                <w:color w:val="auto"/>
              </w:rPr>
            </w:pPr>
            <w:r>
              <w:rPr>
                <w:rFonts w:ascii="Arial" w:cs="Arial" w:eastAsia="Arial" w:hAnsi="Arial"/>
                <w:sz w:val="17"/>
                <w:szCs w:val="17"/>
                <w:color w:val="auto"/>
              </w:rPr>
              <w:t>CHECK THE APPROPRIATE [LINE] IF A MEMBER OF A GROUP</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73"/>
        </w:trPr>
        <w:tc>
          <w:tcPr>
            <w:tcW w:w="180" w:type="dxa"/>
            <w:vAlign w:val="bottom"/>
          </w:tcPr>
          <w:p>
            <w:pPr>
              <w:spacing w:after="0"/>
              <w:rPr>
                <w:sz w:val="24"/>
                <w:szCs w:val="24"/>
                <w:color w:val="auto"/>
              </w:rPr>
            </w:pPr>
          </w:p>
        </w:tc>
        <w:tc>
          <w:tcPr>
            <w:tcW w:w="6220" w:type="dxa"/>
            <w:vAlign w:val="bottom"/>
          </w:tcPr>
          <w:p>
            <w:pPr>
              <w:ind w:left="1160"/>
              <w:spacing w:after="0"/>
              <w:rPr>
                <w:sz w:val="20"/>
                <w:szCs w:val="20"/>
                <w:color w:val="auto"/>
              </w:rPr>
            </w:pPr>
            <w:r>
              <w:rPr>
                <w:rFonts w:ascii="Arial" w:cs="Arial" w:eastAsia="Arial" w:hAnsi="Arial"/>
                <w:sz w:val="17"/>
                <w:szCs w:val="17"/>
                <w:color w:val="auto"/>
              </w:rPr>
              <w:t>A.</w:t>
            </w:r>
          </w:p>
        </w:tc>
        <w:tc>
          <w:tcPr>
            <w:tcW w:w="400" w:type="dxa"/>
            <w:vAlign w:val="bottom"/>
            <w:gridSpan w:val="2"/>
          </w:tcPr>
          <w:p>
            <w:pPr>
              <w:ind w:left="40"/>
              <w:spacing w:after="0"/>
              <w:rPr>
                <w:sz w:val="20"/>
                <w:szCs w:val="20"/>
                <w:color w:val="auto"/>
              </w:rPr>
            </w:pPr>
            <w:r>
              <w:rPr>
                <w:rFonts w:ascii="Arial" w:cs="Arial" w:eastAsia="Arial" w:hAnsi="Arial"/>
                <w:sz w:val="17"/>
                <w:szCs w:val="17"/>
                <w:color w:val="auto"/>
              </w:rPr>
              <w:t>B. X</w:t>
            </w:r>
          </w:p>
        </w:tc>
      </w:tr>
      <w:tr>
        <w:trPr>
          <w:trHeight w:val="427"/>
        </w:trPr>
        <w:tc>
          <w:tcPr>
            <w:tcW w:w="180" w:type="dxa"/>
            <w:vAlign w:val="bottom"/>
          </w:tcPr>
          <w:p>
            <w:pPr>
              <w:jc w:val="right"/>
              <w:spacing w:after="0"/>
              <w:rPr>
                <w:sz w:val="20"/>
                <w:szCs w:val="20"/>
                <w:color w:val="auto"/>
              </w:rPr>
            </w:pPr>
            <w:r>
              <w:rPr>
                <w:rFonts w:ascii="Arial" w:cs="Arial" w:eastAsia="Arial" w:hAnsi="Arial"/>
                <w:sz w:val="17"/>
                <w:szCs w:val="17"/>
                <w:color w:val="auto"/>
                <w:w w:val="84"/>
              </w:rPr>
              <w:t>3.</w:t>
            </w:r>
          </w:p>
        </w:tc>
        <w:tc>
          <w:tcPr>
            <w:tcW w:w="6220" w:type="dxa"/>
            <w:vAlign w:val="bottom"/>
          </w:tcPr>
          <w:p>
            <w:pPr>
              <w:ind w:left="40"/>
              <w:spacing w:after="0"/>
              <w:rPr>
                <w:sz w:val="20"/>
                <w:szCs w:val="20"/>
                <w:color w:val="auto"/>
              </w:rPr>
            </w:pPr>
            <w:r>
              <w:rPr>
                <w:rFonts w:ascii="Arial" w:cs="Arial" w:eastAsia="Arial" w:hAnsi="Arial"/>
                <w:sz w:val="17"/>
                <w:szCs w:val="17"/>
                <w:color w:val="auto"/>
              </w:rPr>
              <w:t>SEC USE ONLY</w:t>
            </w:r>
          </w:p>
        </w:tc>
        <w:tc>
          <w:tcPr>
            <w:tcW w:w="2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r>
      <w:tr>
        <w:trPr>
          <w:trHeight w:val="820"/>
        </w:trPr>
        <w:tc>
          <w:tcPr>
            <w:tcW w:w="180" w:type="dxa"/>
            <w:vAlign w:val="bottom"/>
          </w:tcPr>
          <w:p>
            <w:pPr>
              <w:jc w:val="right"/>
              <w:spacing w:after="0"/>
              <w:rPr>
                <w:sz w:val="20"/>
                <w:szCs w:val="20"/>
                <w:color w:val="auto"/>
              </w:rPr>
            </w:pPr>
            <w:r>
              <w:rPr>
                <w:rFonts w:ascii="Arial" w:cs="Arial" w:eastAsia="Arial" w:hAnsi="Arial"/>
                <w:sz w:val="17"/>
                <w:szCs w:val="17"/>
                <w:color w:val="auto"/>
                <w:w w:val="84"/>
              </w:rPr>
              <w:t>4.</w:t>
            </w:r>
          </w:p>
        </w:tc>
        <w:tc>
          <w:tcPr>
            <w:tcW w:w="6220" w:type="dxa"/>
            <w:vAlign w:val="bottom"/>
          </w:tcPr>
          <w:p>
            <w:pPr>
              <w:ind w:left="40"/>
              <w:spacing w:after="0"/>
              <w:rPr>
                <w:sz w:val="20"/>
                <w:szCs w:val="20"/>
                <w:color w:val="auto"/>
              </w:rPr>
            </w:pPr>
            <w:r>
              <w:rPr>
                <w:rFonts w:ascii="Arial" w:cs="Arial" w:eastAsia="Arial" w:hAnsi="Arial"/>
                <w:sz w:val="17"/>
                <w:szCs w:val="17"/>
                <w:color w:val="auto"/>
              </w:rPr>
              <w:t>CITIZENSHIP OF PLACE OF ORGANIZATION</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26" w:lineRule="exact"/>
        <w:rPr>
          <w:sz w:val="20"/>
          <w:szCs w:val="20"/>
          <w:color w:val="auto"/>
        </w:rPr>
      </w:pPr>
    </w:p>
    <w:p>
      <w:pPr>
        <w:ind w:left="80" w:right="8239" w:hanging="77"/>
        <w:spacing w:after="0" w:line="503" w:lineRule="auto"/>
        <w:tabs>
          <w:tab w:leader="none" w:pos="208" w:val="left"/>
        </w:tabs>
        <w:numPr>
          <w:ilvl w:val="0"/>
          <w:numId w:val="3"/>
        </w:numPr>
        <w:rPr>
          <w:rFonts w:ascii="Arial" w:cs="Arial" w:eastAsia="Arial" w:hAnsi="Arial"/>
          <w:sz w:val="17"/>
          <w:szCs w:val="17"/>
          <w:color w:val="auto"/>
        </w:rPr>
      </w:pPr>
      <w:r>
        <w:rPr>
          <w:rFonts w:ascii="Arial" w:cs="Arial" w:eastAsia="Arial" w:hAnsi="Arial"/>
          <w:sz w:val="17"/>
          <w:szCs w:val="17"/>
          <w:color w:val="auto"/>
        </w:rPr>
        <w:t>SOLE VOTING POWER 2,324,290</w:t>
      </w:r>
    </w:p>
    <w:p>
      <w:pPr>
        <w:spacing w:after="0" w:line="1" w:lineRule="exact"/>
        <w:rPr>
          <w:rFonts w:ascii="Arial" w:cs="Arial" w:eastAsia="Arial" w:hAnsi="Arial"/>
          <w:sz w:val="17"/>
          <w:szCs w:val="17"/>
          <w:color w:val="auto"/>
        </w:rPr>
      </w:pPr>
    </w:p>
    <w:p>
      <w:pPr>
        <w:ind w:left="220" w:hanging="217"/>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SHARED VOTING POWER</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25" w:lineRule="exact"/>
        <w:rPr>
          <w:rFonts w:ascii="Arial" w:cs="Arial" w:eastAsia="Arial" w:hAnsi="Arial"/>
          <w:sz w:val="17"/>
          <w:szCs w:val="17"/>
          <w:color w:val="auto"/>
        </w:rPr>
      </w:pPr>
    </w:p>
    <w:p>
      <w:pPr>
        <w:ind w:left="220" w:hanging="217"/>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SOLE DISPOSITIVE POWER</w:t>
      </w:r>
    </w:p>
    <w:p>
      <w:pPr>
        <w:spacing w:after="0" w:line="21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7"/>
          <w:szCs w:val="17"/>
          <w:color w:val="auto"/>
        </w:rPr>
        <w:t>0</w:t>
      </w:r>
    </w:p>
    <w:p>
      <w:pPr>
        <w:spacing w:after="0" w:line="214" w:lineRule="exact"/>
        <w:rPr>
          <w:rFonts w:ascii="Arial" w:cs="Arial" w:eastAsia="Arial" w:hAnsi="Arial"/>
          <w:sz w:val="17"/>
          <w:szCs w:val="17"/>
          <w:color w:val="auto"/>
        </w:rPr>
      </w:pPr>
    </w:p>
    <w:p>
      <w:pPr>
        <w:ind w:left="220" w:hanging="217"/>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SHARED DISPOSITIVE POWER</w:t>
      </w:r>
    </w:p>
    <w:p>
      <w:pPr>
        <w:spacing w:after="0" w:line="21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7"/>
          <w:szCs w:val="17"/>
          <w:color w:val="auto"/>
        </w:rPr>
        <w:t>0</w:t>
      </w:r>
    </w:p>
    <w:p>
      <w:pPr>
        <w:spacing w:after="0" w:line="214" w:lineRule="exact"/>
        <w:rPr>
          <w:rFonts w:ascii="Arial" w:cs="Arial" w:eastAsia="Arial" w:hAnsi="Arial"/>
          <w:sz w:val="17"/>
          <w:szCs w:val="17"/>
          <w:color w:val="auto"/>
        </w:rPr>
      </w:pPr>
    </w:p>
    <w:p>
      <w:pPr>
        <w:ind w:left="80" w:right="3799" w:hanging="77"/>
        <w:spacing w:after="0" w:line="503" w:lineRule="auto"/>
        <w:tabs>
          <w:tab w:leader="none" w:pos="199" w:val="left"/>
        </w:tabs>
        <w:numPr>
          <w:ilvl w:val="0"/>
          <w:numId w:val="3"/>
        </w:numPr>
        <w:rPr>
          <w:rFonts w:ascii="Arial" w:cs="Arial" w:eastAsia="Arial" w:hAnsi="Arial"/>
          <w:sz w:val="17"/>
          <w:szCs w:val="17"/>
          <w:color w:val="auto"/>
        </w:rPr>
      </w:pPr>
      <w:r>
        <w:rPr>
          <w:rFonts w:ascii="Arial" w:cs="Arial" w:eastAsia="Arial" w:hAnsi="Arial"/>
          <w:sz w:val="17"/>
          <w:szCs w:val="17"/>
          <w:color w:val="auto"/>
        </w:rPr>
        <w:t>AGGREGATE AMOUNT BENEFICIALLY OWNED BY EACH REPORTING PERSON 2,324,290</w:t>
      </w:r>
    </w:p>
    <w:p>
      <w:pPr>
        <w:spacing w:after="0" w:line="1" w:lineRule="exact"/>
        <w:rPr>
          <w:rFonts w:ascii="Arial" w:cs="Arial" w:eastAsia="Arial" w:hAnsi="Arial"/>
          <w:sz w:val="17"/>
          <w:szCs w:val="17"/>
          <w:color w:val="auto"/>
        </w:rPr>
      </w:pPr>
    </w:p>
    <w:p>
      <w:pPr>
        <w:ind w:left="80" w:right="3199" w:hanging="77"/>
        <w:spacing w:after="0" w:line="503" w:lineRule="auto"/>
        <w:tabs>
          <w:tab w:leader="none" w:pos="294" w:val="left"/>
        </w:tabs>
        <w:numPr>
          <w:ilvl w:val="0"/>
          <w:numId w:val="3"/>
        </w:numPr>
        <w:rPr>
          <w:rFonts w:ascii="Arial" w:cs="Arial" w:eastAsia="Arial" w:hAnsi="Arial"/>
          <w:sz w:val="17"/>
          <w:szCs w:val="17"/>
          <w:color w:val="auto"/>
        </w:rPr>
      </w:pPr>
      <w:r>
        <w:rPr>
          <w:rFonts w:ascii="Arial" w:cs="Arial" w:eastAsia="Arial" w:hAnsi="Arial"/>
          <w:sz w:val="17"/>
          <w:szCs w:val="17"/>
          <w:color w:val="auto"/>
        </w:rPr>
        <w:t>CHECK BOX IF THE AGGREGATE AMOUNT IN ROW (9) EXCLUDES CERTAIN SHARES N/A</w:t>
      </w:r>
    </w:p>
    <w:p>
      <w:pPr>
        <w:spacing w:after="0" w:line="1" w:lineRule="exact"/>
        <w:rPr>
          <w:rFonts w:ascii="Arial" w:cs="Arial" w:eastAsia="Arial" w:hAnsi="Arial"/>
          <w:sz w:val="17"/>
          <w:szCs w:val="17"/>
          <w:color w:val="auto"/>
        </w:rPr>
      </w:pPr>
    </w:p>
    <w:p>
      <w:pPr>
        <w:ind w:left="300" w:hanging="297"/>
        <w:spacing w:after="0"/>
        <w:tabs>
          <w:tab w:leader="none" w:pos="300" w:val="left"/>
        </w:tabs>
        <w:numPr>
          <w:ilvl w:val="0"/>
          <w:numId w:val="3"/>
        </w:numPr>
        <w:rPr>
          <w:rFonts w:ascii="Arial" w:cs="Arial" w:eastAsia="Arial" w:hAnsi="Arial"/>
          <w:sz w:val="17"/>
          <w:szCs w:val="17"/>
          <w:color w:val="auto"/>
        </w:rPr>
      </w:pPr>
      <w:r>
        <w:rPr>
          <w:rFonts w:ascii="Arial" w:cs="Arial" w:eastAsia="Arial" w:hAnsi="Arial"/>
          <w:sz w:val="17"/>
          <w:szCs w:val="17"/>
          <w:color w:val="auto"/>
        </w:rPr>
        <w:t>PERCENT OF CLASS REPRESENTED BY AMOUNT IN ROW 9</w:t>
      </w:r>
    </w:p>
    <w:p>
      <w:pPr>
        <w:spacing w:after="0" w:line="215" w:lineRule="exact"/>
        <w:rPr>
          <w:sz w:val="20"/>
          <w:szCs w:val="20"/>
          <w:color w:val="auto"/>
        </w:rPr>
      </w:pPr>
    </w:p>
    <w:p>
      <w:pPr>
        <w:ind w:left="80"/>
        <w:spacing w:after="0"/>
        <w:rPr>
          <w:sz w:val="20"/>
          <w:szCs w:val="20"/>
          <w:color w:val="auto"/>
        </w:rPr>
      </w:pPr>
      <w:r>
        <w:rPr>
          <w:rFonts w:ascii="Arial" w:cs="Arial" w:eastAsia="Arial" w:hAnsi="Arial"/>
          <w:sz w:val="17"/>
          <w:szCs w:val="17"/>
          <w:color w:val="auto"/>
        </w:rPr>
        <w:t>5.74%</w:t>
      </w:r>
    </w:p>
    <w:p>
      <w:pPr>
        <w:spacing w:after="0" w:line="215" w:lineRule="exact"/>
        <w:rPr>
          <w:sz w:val="20"/>
          <w:szCs w:val="20"/>
          <w:color w:val="auto"/>
        </w:rPr>
      </w:pPr>
    </w:p>
    <w:p>
      <w:pPr>
        <w:ind w:left="300" w:hanging="297"/>
        <w:spacing w:after="0"/>
        <w:tabs>
          <w:tab w:leader="none" w:pos="300" w:val="left"/>
        </w:tabs>
        <w:numPr>
          <w:ilvl w:val="0"/>
          <w:numId w:val="4"/>
        </w:numPr>
        <w:rPr>
          <w:rFonts w:ascii="Arial" w:cs="Arial" w:eastAsia="Arial" w:hAnsi="Arial"/>
          <w:sz w:val="17"/>
          <w:szCs w:val="17"/>
          <w:color w:val="auto"/>
        </w:rPr>
      </w:pPr>
      <w:r>
        <w:rPr>
          <w:rFonts w:ascii="Arial" w:cs="Arial" w:eastAsia="Arial" w:hAnsi="Arial"/>
          <w:sz w:val="17"/>
          <w:szCs w:val="17"/>
          <w:color w:val="auto"/>
        </w:rPr>
        <w:t>TYPE OF REPORTING PERSON</w:t>
      </w:r>
    </w:p>
    <w:p>
      <w:pPr>
        <w:spacing w:after="0" w:line="214" w:lineRule="exact"/>
        <w:rPr>
          <w:rFonts w:ascii="Arial" w:cs="Arial" w:eastAsia="Arial" w:hAnsi="Arial"/>
          <w:sz w:val="17"/>
          <w:szCs w:val="17"/>
          <w:color w:val="auto"/>
        </w:rPr>
      </w:pPr>
    </w:p>
    <w:p>
      <w:pPr>
        <w:ind w:left="80"/>
        <w:spacing w:after="0"/>
        <w:rPr>
          <w:rFonts w:ascii="Arial" w:cs="Arial" w:eastAsia="Arial" w:hAnsi="Arial"/>
          <w:sz w:val="17"/>
          <w:szCs w:val="17"/>
          <w:color w:val="auto"/>
        </w:rPr>
      </w:pPr>
      <w:r>
        <w:rPr>
          <w:rFonts w:ascii="Arial" w:cs="Arial" w:eastAsia="Arial" w:hAnsi="Arial"/>
          <w:sz w:val="17"/>
          <w:szCs w:val="17"/>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223520</wp:posOffset>
            </wp:positionV>
            <wp:extent cx="7274560"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4560" cy="20955"/>
                    </a:xfrm>
                    <a:prstGeom prst="rect">
                      <a:avLst/>
                    </a:prstGeom>
                    <a:noFill/>
                  </pic:spPr>
                </pic:pic>
              </a:graphicData>
            </a:graphic>
          </wp:anchor>
        </w:drawing>
      </w:r>
    </w:p>
    <w:p>
      <w:pPr>
        <w:sectPr>
          <w:pgSz w:w="11900" w:h="16838" w:orient="portrait"/>
          <w:cols w:equalWidth="0" w:num="1">
            <w:col w:w="10219"/>
          </w:cols>
          <w:pgMar w:left="240" w:top="589" w:right="1440" w:bottom="1440" w:gutter="0" w:footer="0" w:header="0"/>
        </w:sectPr>
      </w:pPr>
    </w:p>
    <w:bookmarkStart w:id="2" w:name="page3"/>
    <w:bookmarkEnd w:id="2"/>
    <w:p>
      <w:pPr>
        <w:jc w:val="center"/>
        <w:ind w:right="-279"/>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Washington, D.C. 20549</w:t>
      </w:r>
    </w:p>
    <w:p>
      <w:pPr>
        <w:spacing w:after="0" w:line="204"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SCHEDULE 13G</w:t>
      </w:r>
    </w:p>
    <w:p>
      <w:pPr>
        <w:spacing w:after="0" w:line="21"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Under the Securities Act of 1934</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color w:val="auto"/>
        </w:rPr>
        <w:t>Check the following [line] if a fee is being paid with this statement  N/A</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1(a) - Name of Issuer:</w:t>
      </w:r>
    </w:p>
    <w:p>
      <w:pPr>
        <w:spacing w:after="0" w:line="215" w:lineRule="exact"/>
        <w:rPr>
          <w:sz w:val="20"/>
          <w:szCs w:val="20"/>
          <w:color w:val="auto"/>
        </w:rPr>
      </w:pPr>
    </w:p>
    <w:p>
      <w:pPr>
        <w:ind w:left="80"/>
        <w:spacing w:after="0"/>
        <w:rPr>
          <w:sz w:val="20"/>
          <w:szCs w:val="20"/>
          <w:color w:val="auto"/>
        </w:rPr>
      </w:pPr>
      <w:r>
        <w:rPr>
          <w:rFonts w:ascii="Arial" w:cs="Arial" w:eastAsia="Arial" w:hAnsi="Arial"/>
          <w:sz w:val="17"/>
          <w:szCs w:val="17"/>
          <w:color w:val="auto"/>
        </w:rPr>
        <w:t>American Assets Trust Inc</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1(b) - Address of Issuer's Principal Executive Offices:</w:t>
      </w:r>
    </w:p>
    <w:p>
      <w:pPr>
        <w:spacing w:after="0" w:line="215" w:lineRule="exact"/>
        <w:rPr>
          <w:sz w:val="20"/>
          <w:szCs w:val="20"/>
          <w:color w:val="auto"/>
        </w:rPr>
      </w:pPr>
    </w:p>
    <w:p>
      <w:pPr>
        <w:ind w:left="80"/>
        <w:spacing w:after="0"/>
        <w:rPr>
          <w:sz w:val="20"/>
          <w:szCs w:val="20"/>
          <w:color w:val="auto"/>
        </w:rPr>
      </w:pPr>
      <w:r>
        <w:rPr>
          <w:rFonts w:ascii="Arial" w:cs="Arial" w:eastAsia="Arial" w:hAnsi="Arial"/>
          <w:sz w:val="17"/>
          <w:szCs w:val="17"/>
          <w:color w:val="auto"/>
        </w:rPr>
        <w:t>11455 El Camino Real</w:t>
      </w:r>
    </w:p>
    <w:p>
      <w:pPr>
        <w:spacing w:after="0" w:line="21" w:lineRule="exact"/>
        <w:rPr>
          <w:sz w:val="20"/>
          <w:szCs w:val="20"/>
          <w:color w:val="auto"/>
        </w:rPr>
      </w:pPr>
    </w:p>
    <w:p>
      <w:pPr>
        <w:ind w:left="80"/>
        <w:spacing w:after="0"/>
        <w:rPr>
          <w:sz w:val="20"/>
          <w:szCs w:val="20"/>
          <w:color w:val="auto"/>
        </w:rPr>
      </w:pPr>
      <w:r>
        <w:rPr>
          <w:rFonts w:ascii="Arial" w:cs="Arial" w:eastAsia="Arial" w:hAnsi="Arial"/>
          <w:sz w:val="17"/>
          <w:szCs w:val="17"/>
          <w:color w:val="auto"/>
        </w:rPr>
        <w:t>Suite 200</w:t>
      </w:r>
    </w:p>
    <w:p>
      <w:pPr>
        <w:spacing w:after="0" w:line="10" w:lineRule="exact"/>
        <w:rPr>
          <w:sz w:val="20"/>
          <w:szCs w:val="20"/>
          <w:color w:val="auto"/>
        </w:rPr>
      </w:pPr>
    </w:p>
    <w:p>
      <w:pPr>
        <w:ind w:left="80"/>
        <w:spacing w:after="0"/>
        <w:rPr>
          <w:sz w:val="20"/>
          <w:szCs w:val="20"/>
          <w:color w:val="auto"/>
        </w:rPr>
      </w:pPr>
      <w:r>
        <w:rPr>
          <w:rFonts w:ascii="Arial" w:cs="Arial" w:eastAsia="Arial" w:hAnsi="Arial"/>
          <w:sz w:val="17"/>
          <w:szCs w:val="17"/>
          <w:color w:val="auto"/>
        </w:rPr>
        <w:t>San Diego, Ca 92130</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2(a) - Name of Person Filing:</w:t>
      </w:r>
    </w:p>
    <w:p>
      <w:pPr>
        <w:spacing w:after="0" w:line="215" w:lineRule="exact"/>
        <w:rPr>
          <w:sz w:val="20"/>
          <w:szCs w:val="20"/>
          <w:color w:val="auto"/>
        </w:rPr>
      </w:pPr>
    </w:p>
    <w:p>
      <w:pPr>
        <w:ind w:left="80"/>
        <w:spacing w:after="0"/>
        <w:rPr>
          <w:sz w:val="20"/>
          <w:szCs w:val="20"/>
          <w:color w:val="auto"/>
        </w:rPr>
      </w:pPr>
      <w:r>
        <w:rPr>
          <w:rFonts w:ascii="Arial" w:cs="Arial" w:eastAsia="Arial" w:hAnsi="Arial"/>
          <w:sz w:val="17"/>
          <w:szCs w:val="17"/>
          <w:color w:val="auto"/>
        </w:rPr>
        <w:t>VANGUARD SPECIALIZED FUNDS - VANGUARD REIT INDEX FUND - 23-2834924</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2(b) – Address of Principal Business Office or, if none, residence:</w:t>
      </w:r>
    </w:p>
    <w:p>
      <w:pPr>
        <w:spacing w:after="0" w:line="215" w:lineRule="exact"/>
        <w:rPr>
          <w:sz w:val="20"/>
          <w:szCs w:val="20"/>
          <w:color w:val="auto"/>
        </w:rPr>
      </w:pPr>
    </w:p>
    <w:p>
      <w:pPr>
        <w:ind w:left="80"/>
        <w:spacing w:after="0"/>
        <w:rPr>
          <w:sz w:val="20"/>
          <w:szCs w:val="20"/>
          <w:color w:val="auto"/>
        </w:rPr>
      </w:pPr>
      <w:r>
        <w:rPr>
          <w:rFonts w:ascii="Arial" w:cs="Arial" w:eastAsia="Arial" w:hAnsi="Arial"/>
          <w:sz w:val="17"/>
          <w:szCs w:val="17"/>
          <w:color w:val="auto"/>
        </w:rPr>
        <w:t>100 Vanguard Blvd.</w:t>
      </w:r>
    </w:p>
    <w:p>
      <w:pPr>
        <w:spacing w:after="0" w:line="21" w:lineRule="exact"/>
        <w:rPr>
          <w:sz w:val="20"/>
          <w:szCs w:val="20"/>
          <w:color w:val="auto"/>
        </w:rPr>
      </w:pPr>
    </w:p>
    <w:p>
      <w:pPr>
        <w:ind w:left="80"/>
        <w:spacing w:after="0"/>
        <w:rPr>
          <w:sz w:val="20"/>
          <w:szCs w:val="20"/>
          <w:color w:val="auto"/>
        </w:rPr>
      </w:pPr>
      <w:r>
        <w:rPr>
          <w:rFonts w:ascii="Arial" w:cs="Arial" w:eastAsia="Arial" w:hAnsi="Arial"/>
          <w:sz w:val="17"/>
          <w:szCs w:val="17"/>
          <w:color w:val="auto"/>
        </w:rPr>
        <w:t>Malvern, PA 19355</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2(c) – Citizenship:</w:t>
      </w:r>
    </w:p>
    <w:p>
      <w:pPr>
        <w:spacing w:after="0" w:line="215" w:lineRule="exact"/>
        <w:rPr>
          <w:sz w:val="20"/>
          <w:szCs w:val="20"/>
          <w:color w:val="auto"/>
        </w:rPr>
      </w:pPr>
    </w:p>
    <w:p>
      <w:pPr>
        <w:ind w:left="80"/>
        <w:spacing w:after="0"/>
        <w:rPr>
          <w:sz w:val="20"/>
          <w:szCs w:val="20"/>
          <w:color w:val="auto"/>
        </w:rPr>
      </w:pPr>
      <w:r>
        <w:rPr>
          <w:rFonts w:ascii="Arial" w:cs="Arial" w:eastAsia="Arial" w:hAnsi="Arial"/>
          <w:sz w:val="17"/>
          <w:szCs w:val="17"/>
          <w:color w:val="auto"/>
        </w:rPr>
        <w:t>Delaware</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2(d) - Title of Class of Securities:</w:t>
      </w:r>
    </w:p>
    <w:p>
      <w:pPr>
        <w:spacing w:after="0" w:line="215" w:lineRule="exact"/>
        <w:rPr>
          <w:sz w:val="20"/>
          <w:szCs w:val="20"/>
          <w:color w:val="auto"/>
        </w:rPr>
      </w:pPr>
    </w:p>
    <w:p>
      <w:pPr>
        <w:ind w:left="80"/>
        <w:spacing w:after="0"/>
        <w:rPr>
          <w:sz w:val="20"/>
          <w:szCs w:val="20"/>
          <w:color w:val="auto"/>
        </w:rPr>
      </w:pPr>
      <w:r>
        <w:rPr>
          <w:rFonts w:ascii="Arial" w:cs="Arial" w:eastAsia="Arial" w:hAnsi="Arial"/>
          <w:sz w:val="17"/>
          <w:szCs w:val="17"/>
          <w:color w:val="auto"/>
        </w:rPr>
        <w:t>REIT</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2(e) - CUSIP Number</w:t>
      </w:r>
    </w:p>
    <w:p>
      <w:pPr>
        <w:spacing w:after="0" w:line="215" w:lineRule="exact"/>
        <w:rPr>
          <w:sz w:val="20"/>
          <w:szCs w:val="20"/>
          <w:color w:val="auto"/>
        </w:rPr>
      </w:pPr>
    </w:p>
    <w:p>
      <w:pPr>
        <w:ind w:left="80"/>
        <w:spacing w:after="0"/>
        <w:rPr>
          <w:sz w:val="20"/>
          <w:szCs w:val="20"/>
          <w:color w:val="auto"/>
        </w:rPr>
      </w:pPr>
      <w:r>
        <w:rPr>
          <w:rFonts w:ascii="Arial" w:cs="Arial" w:eastAsia="Arial" w:hAnsi="Arial"/>
          <w:sz w:val="17"/>
          <w:szCs w:val="17"/>
          <w:color w:val="auto"/>
        </w:rPr>
        <w:t>024013104</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3 - Type of Filing:</w:t>
      </w:r>
    </w:p>
    <w:p>
      <w:pPr>
        <w:spacing w:after="0" w:line="215" w:lineRule="exact"/>
        <w:rPr>
          <w:sz w:val="20"/>
          <w:szCs w:val="20"/>
          <w:color w:val="auto"/>
        </w:rPr>
      </w:pPr>
    </w:p>
    <w:p>
      <w:pPr>
        <w:spacing w:after="0"/>
        <w:tabs>
          <w:tab w:leader="none" w:pos="9040" w:val="left"/>
        </w:tabs>
        <w:rPr>
          <w:sz w:val="20"/>
          <w:szCs w:val="20"/>
          <w:color w:val="auto"/>
        </w:rPr>
      </w:pPr>
      <w:r>
        <w:rPr>
          <w:rFonts w:ascii="Arial" w:cs="Arial" w:eastAsia="Arial" w:hAnsi="Arial"/>
          <w:sz w:val="17"/>
          <w:szCs w:val="17"/>
          <w:color w:val="auto"/>
        </w:rPr>
        <w:t>This statement is being filed pursuant to Rule 13d-1. Investment company registered under section 8 of the Investment Company</w:t>
      </w:r>
      <w:r>
        <w:rPr>
          <w:sz w:val="20"/>
          <w:szCs w:val="20"/>
          <w:color w:val="auto"/>
        </w:rPr>
        <w:tab/>
      </w:r>
      <w:r>
        <w:rPr>
          <w:rFonts w:ascii="Arial" w:cs="Arial" w:eastAsia="Arial" w:hAnsi="Arial"/>
          <w:sz w:val="15"/>
          <w:szCs w:val="15"/>
          <w:color w:val="auto"/>
        </w:rPr>
        <w:t>Act of 1940 (15 U.S.C 80a-8).</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4 - Ownership:</w:t>
      </w:r>
    </w:p>
    <w:p>
      <w:pPr>
        <w:spacing w:after="0" w:line="215" w:lineRule="exact"/>
        <w:rPr>
          <w:sz w:val="20"/>
          <w:szCs w:val="20"/>
          <w:color w:val="auto"/>
        </w:rPr>
      </w:pPr>
    </w:p>
    <w:p>
      <w:pPr>
        <w:ind w:left="80" w:right="8800" w:firstLine="8"/>
        <w:spacing w:after="0" w:line="503" w:lineRule="auto"/>
        <w:tabs>
          <w:tab w:leader="none" w:pos="312" w:val="left"/>
        </w:tabs>
        <w:numPr>
          <w:ilvl w:val="0"/>
          <w:numId w:val="5"/>
        </w:numPr>
        <w:rPr>
          <w:rFonts w:ascii="Arial" w:cs="Arial" w:eastAsia="Arial" w:hAnsi="Arial"/>
          <w:sz w:val="17"/>
          <w:szCs w:val="17"/>
          <w:color w:val="auto"/>
        </w:rPr>
      </w:pPr>
      <w:r>
        <w:rPr>
          <w:rFonts w:ascii="Arial" w:cs="Arial" w:eastAsia="Arial" w:hAnsi="Arial"/>
          <w:sz w:val="17"/>
          <w:szCs w:val="17"/>
          <w:color w:val="auto"/>
        </w:rPr>
        <w:t>Amount Beneficially Owned: 2,324,290</w:t>
      </w:r>
    </w:p>
    <w:p>
      <w:pPr>
        <w:spacing w:after="0" w:line="1" w:lineRule="exact"/>
        <w:rPr>
          <w:rFonts w:ascii="Arial" w:cs="Arial" w:eastAsia="Arial" w:hAnsi="Arial"/>
          <w:sz w:val="17"/>
          <w:szCs w:val="17"/>
          <w:color w:val="auto"/>
        </w:rPr>
      </w:pPr>
    </w:p>
    <w:p>
      <w:pPr>
        <w:ind w:left="340" w:hanging="252"/>
        <w:spacing w:after="0"/>
        <w:tabs>
          <w:tab w:leader="none" w:pos="340" w:val="left"/>
        </w:tabs>
        <w:numPr>
          <w:ilvl w:val="0"/>
          <w:numId w:val="5"/>
        </w:numPr>
        <w:rPr>
          <w:rFonts w:ascii="Arial" w:cs="Arial" w:eastAsia="Arial" w:hAnsi="Arial"/>
          <w:sz w:val="17"/>
          <w:szCs w:val="17"/>
          <w:color w:val="auto"/>
        </w:rPr>
      </w:pPr>
      <w:r>
        <w:rPr>
          <w:rFonts w:ascii="Arial" w:cs="Arial" w:eastAsia="Arial" w:hAnsi="Arial"/>
          <w:sz w:val="17"/>
          <w:szCs w:val="17"/>
          <w:color w:val="auto"/>
        </w:rPr>
        <w:t>Percent of Class:</w:t>
      </w:r>
    </w:p>
    <w:p>
      <w:pPr>
        <w:spacing w:after="0" w:line="215" w:lineRule="exact"/>
        <w:rPr>
          <w:sz w:val="20"/>
          <w:szCs w:val="20"/>
          <w:color w:val="auto"/>
        </w:rPr>
      </w:pPr>
    </w:p>
    <w:p>
      <w:pPr>
        <w:ind w:left="80"/>
        <w:spacing w:after="0"/>
        <w:rPr>
          <w:sz w:val="20"/>
          <w:szCs w:val="20"/>
          <w:color w:val="auto"/>
        </w:rPr>
      </w:pPr>
      <w:r>
        <w:rPr>
          <w:rFonts w:ascii="Arial" w:cs="Arial" w:eastAsia="Arial" w:hAnsi="Arial"/>
          <w:sz w:val="17"/>
          <w:szCs w:val="17"/>
          <w:color w:val="auto"/>
        </w:rPr>
        <w:t>5.74%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223520</wp:posOffset>
            </wp:positionV>
            <wp:extent cx="727456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4560" cy="20955"/>
                    </a:xfrm>
                    <a:prstGeom prst="rect">
                      <a:avLst/>
                    </a:prstGeom>
                    <a:noFill/>
                  </pic:spPr>
                </pic:pic>
              </a:graphicData>
            </a:graphic>
          </wp:anchor>
        </w:drawing>
      </w:r>
    </w:p>
    <w:p>
      <w:pPr>
        <w:sectPr>
          <w:pgSz w:w="11900" w:h="16838" w:orient="portrait"/>
          <w:cols w:equalWidth="0" w:num="1">
            <w:col w:w="11140"/>
          </w:cols>
          <w:pgMar w:left="240" w:top="589" w:right="519" w:bottom="1440" w:gutter="0" w:footer="0" w:header="0"/>
        </w:sectPr>
      </w:pPr>
    </w:p>
    <w:bookmarkStart w:id="3" w:name="page4"/>
    <w:bookmarkEnd w:id="3"/>
    <w:p>
      <w:pPr>
        <w:ind w:left="360" w:hanging="272"/>
        <w:spacing w:after="0"/>
        <w:tabs>
          <w:tab w:leader="none" w:pos="360" w:val="left"/>
        </w:tabs>
        <w:numPr>
          <w:ilvl w:val="0"/>
          <w:numId w:val="6"/>
        </w:numPr>
        <w:rPr>
          <w:rFonts w:ascii="Arial" w:cs="Arial" w:eastAsia="Arial" w:hAnsi="Arial"/>
          <w:sz w:val="17"/>
          <w:szCs w:val="17"/>
          <w:color w:val="auto"/>
        </w:rPr>
      </w:pPr>
      <w:r>
        <w:rPr>
          <w:rFonts w:ascii="Arial" w:cs="Arial" w:eastAsia="Arial" w:hAnsi="Arial"/>
          <w:sz w:val="17"/>
          <w:szCs w:val="17"/>
          <w:color w:val="auto"/>
        </w:rPr>
        <w:t>Number of shares as to which such person has:</w:t>
      </w:r>
    </w:p>
    <w:p>
      <w:pPr>
        <w:spacing w:after="0" w:line="214" w:lineRule="exact"/>
        <w:rPr>
          <w:rFonts w:ascii="Arial" w:cs="Arial" w:eastAsia="Arial" w:hAnsi="Arial"/>
          <w:sz w:val="17"/>
          <w:szCs w:val="17"/>
          <w:color w:val="auto"/>
        </w:rPr>
      </w:pPr>
    </w:p>
    <w:p>
      <w:pPr>
        <w:ind w:left="340" w:hanging="252"/>
        <w:spacing w:after="0"/>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sole power to vote or direct to vote: 2,324,290</w:t>
      </w:r>
    </w:p>
    <w:p>
      <w:pPr>
        <w:spacing w:after="0" w:line="214" w:lineRule="exact"/>
        <w:rPr>
          <w:rFonts w:ascii="Arial" w:cs="Arial" w:eastAsia="Arial" w:hAnsi="Arial"/>
          <w:sz w:val="17"/>
          <w:szCs w:val="17"/>
          <w:color w:val="auto"/>
        </w:rPr>
      </w:pPr>
    </w:p>
    <w:p>
      <w:pPr>
        <w:ind w:left="380" w:hanging="292"/>
        <w:spacing w:after="0"/>
        <w:tabs>
          <w:tab w:leader="none" w:pos="380" w:val="left"/>
        </w:tabs>
        <w:numPr>
          <w:ilvl w:val="0"/>
          <w:numId w:val="8"/>
        </w:numPr>
        <w:rPr>
          <w:rFonts w:ascii="Arial" w:cs="Arial" w:eastAsia="Arial" w:hAnsi="Arial"/>
          <w:sz w:val="17"/>
          <w:szCs w:val="17"/>
          <w:color w:val="auto"/>
        </w:rPr>
      </w:pPr>
      <w:r>
        <w:rPr>
          <w:rFonts w:ascii="Arial" w:cs="Arial" w:eastAsia="Arial" w:hAnsi="Arial"/>
          <w:sz w:val="17"/>
          <w:szCs w:val="17"/>
          <w:color w:val="auto"/>
        </w:rPr>
        <w:t>shared power to vote or direct to vote:</w:t>
      </w:r>
    </w:p>
    <w:p>
      <w:pPr>
        <w:spacing w:after="0" w:line="214" w:lineRule="exact"/>
        <w:rPr>
          <w:rFonts w:ascii="Arial" w:cs="Arial" w:eastAsia="Arial" w:hAnsi="Arial"/>
          <w:sz w:val="17"/>
          <w:szCs w:val="17"/>
          <w:color w:val="auto"/>
        </w:rPr>
      </w:pPr>
    </w:p>
    <w:p>
      <w:pPr>
        <w:jc w:val="both"/>
        <w:ind w:left="80" w:right="7240" w:firstLine="8"/>
        <w:spacing w:after="0" w:line="631" w:lineRule="auto"/>
        <w:tabs>
          <w:tab w:leader="none" w:pos="422" w:val="left"/>
        </w:tabs>
        <w:numPr>
          <w:ilvl w:val="0"/>
          <w:numId w:val="9"/>
        </w:numPr>
        <w:rPr>
          <w:rFonts w:ascii="Arial" w:cs="Arial" w:eastAsia="Arial" w:hAnsi="Arial"/>
          <w:sz w:val="15"/>
          <w:szCs w:val="15"/>
          <w:color w:val="auto"/>
        </w:rPr>
      </w:pPr>
      <w:r>
        <w:rPr>
          <w:rFonts w:ascii="Arial" w:cs="Arial" w:eastAsia="Arial" w:hAnsi="Arial"/>
          <w:sz w:val="15"/>
          <w:szCs w:val="15"/>
          <w:color w:val="auto"/>
        </w:rPr>
        <w:t>sole power to dispose of or to direct the disposition of: (iv) shared power to dispose or to direct the disposition of:</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Comments:</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5 - Ownership of Five Percent or Less of a Class:</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color w:val="auto"/>
        </w:rPr>
        <w:t>Not Applicable</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6 - Ownership of More Than Five Percent on Behalf of Another Person:</w:t>
      </w:r>
    </w:p>
    <w:p>
      <w:pPr>
        <w:spacing w:after="0" w:line="215" w:lineRule="exact"/>
        <w:rPr>
          <w:sz w:val="20"/>
          <w:szCs w:val="20"/>
          <w:color w:val="auto"/>
        </w:rPr>
      </w:pPr>
    </w:p>
    <w:p>
      <w:pPr>
        <w:ind w:left="80"/>
        <w:spacing w:after="0"/>
        <w:rPr>
          <w:sz w:val="20"/>
          <w:szCs w:val="20"/>
          <w:color w:val="auto"/>
        </w:rPr>
      </w:pPr>
      <w:r>
        <w:rPr>
          <w:rFonts w:ascii="Arial" w:cs="Arial" w:eastAsia="Arial" w:hAnsi="Arial"/>
          <w:sz w:val="17"/>
          <w:szCs w:val="17"/>
          <w:color w:val="auto"/>
        </w:rPr>
        <w:t>Not applicable</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7 - Identification and Classification of the Subsidiary Which Acquired The Security Being Reported on by the Parent Holding Company</w:t>
      </w:r>
      <w:r>
        <w:rPr>
          <w:rFonts w:ascii="Arial" w:cs="Arial" w:eastAsia="Arial" w:hAnsi="Arial"/>
          <w:sz w:val="17"/>
          <w:szCs w:val="17"/>
          <w:color w:val="auto"/>
        </w:rPr>
        <w:t>:</w:t>
      </w:r>
    </w:p>
    <w:p>
      <w:pPr>
        <w:spacing w:after="0" w:line="215" w:lineRule="exact"/>
        <w:rPr>
          <w:sz w:val="20"/>
          <w:szCs w:val="20"/>
          <w:color w:val="auto"/>
        </w:rPr>
      </w:pPr>
    </w:p>
    <w:p>
      <w:pPr>
        <w:ind w:left="80"/>
        <w:spacing w:after="0"/>
        <w:rPr>
          <w:sz w:val="20"/>
          <w:szCs w:val="20"/>
          <w:color w:val="auto"/>
        </w:rPr>
      </w:pPr>
      <w:r>
        <w:rPr>
          <w:rFonts w:ascii="Arial" w:cs="Arial" w:eastAsia="Arial" w:hAnsi="Arial"/>
          <w:sz w:val="17"/>
          <w:szCs w:val="17"/>
          <w:color w:val="auto"/>
        </w:rPr>
        <w:t>Not Applicable</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8 - Identification and Classification of Members of Group:</w:t>
      </w:r>
    </w:p>
    <w:p>
      <w:pPr>
        <w:spacing w:after="0" w:line="215" w:lineRule="exact"/>
        <w:rPr>
          <w:sz w:val="20"/>
          <w:szCs w:val="20"/>
          <w:color w:val="auto"/>
        </w:rPr>
      </w:pPr>
    </w:p>
    <w:p>
      <w:pPr>
        <w:ind w:left="80"/>
        <w:spacing w:after="0"/>
        <w:rPr>
          <w:sz w:val="20"/>
          <w:szCs w:val="20"/>
          <w:color w:val="auto"/>
        </w:rPr>
      </w:pPr>
      <w:r>
        <w:rPr>
          <w:rFonts w:ascii="Arial" w:cs="Arial" w:eastAsia="Arial" w:hAnsi="Arial"/>
          <w:sz w:val="17"/>
          <w:szCs w:val="17"/>
          <w:color w:val="auto"/>
        </w:rPr>
        <w:t>Not applicable</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9 - Notice of Dissolution of Group:</w:t>
      </w:r>
    </w:p>
    <w:p>
      <w:pPr>
        <w:spacing w:after="0" w:line="215" w:lineRule="exact"/>
        <w:rPr>
          <w:sz w:val="20"/>
          <w:szCs w:val="20"/>
          <w:color w:val="auto"/>
        </w:rPr>
      </w:pPr>
    </w:p>
    <w:p>
      <w:pPr>
        <w:ind w:left="80"/>
        <w:spacing w:after="0"/>
        <w:rPr>
          <w:sz w:val="20"/>
          <w:szCs w:val="20"/>
          <w:color w:val="auto"/>
        </w:rPr>
      </w:pPr>
      <w:r>
        <w:rPr>
          <w:rFonts w:ascii="Arial" w:cs="Arial" w:eastAsia="Arial" w:hAnsi="Arial"/>
          <w:sz w:val="17"/>
          <w:szCs w:val="17"/>
          <w:color w:val="auto"/>
        </w:rPr>
        <w:t>Not applicable</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10 - Certification:</w:t>
      </w:r>
    </w:p>
    <w:p>
      <w:pPr>
        <w:spacing w:after="0" w:line="215" w:lineRule="exact"/>
        <w:rPr>
          <w:sz w:val="20"/>
          <w:szCs w:val="20"/>
          <w:color w:val="auto"/>
        </w:rPr>
      </w:pPr>
    </w:p>
    <w:p>
      <w:pPr>
        <w:ind w:firstLine="85"/>
        <w:spacing w:after="0" w:line="264"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Signature</w:t>
      </w:r>
    </w:p>
    <w:p>
      <w:pPr>
        <w:spacing w:after="0" w:line="215" w:lineRule="exact"/>
        <w:rPr>
          <w:sz w:val="20"/>
          <w:szCs w:val="20"/>
          <w:color w:val="auto"/>
        </w:rPr>
      </w:pPr>
    </w:p>
    <w:p>
      <w:pPr>
        <w:ind w:left="8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color w:val="auto"/>
        </w:rPr>
        <w:t>Date: 02/3/2014</w:t>
      </w:r>
    </w:p>
    <w:p>
      <w:pPr>
        <w:spacing w:after="0" w:line="215"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By /s/ F. William McNabb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3060065</wp:posOffset>
            </wp:positionH>
            <wp:positionV relativeFrom="paragraph">
              <wp:posOffset>-9525</wp:posOffset>
            </wp:positionV>
            <wp:extent cx="120840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08405" cy="8255"/>
                    </a:xfrm>
                    <a:prstGeom prst="rect">
                      <a:avLst/>
                    </a:prstGeom>
                    <a:noFill/>
                  </pic:spPr>
                </pic:pic>
              </a:graphicData>
            </a:graphic>
          </wp:anchor>
        </w:drawing>
      </w:r>
    </w:p>
    <w:p>
      <w:pPr>
        <w:spacing w:after="0" w:line="19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 William McNabb III</w:t>
      </w: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President and Chief Executive Officer</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color w:val="auto"/>
        </w:rPr>
        <w:t>*By: /s/ Glenn Booraem</w:t>
      </w:r>
    </w:p>
    <w:p>
      <w:pPr>
        <w:spacing w:after="0" w:line="2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Glenn Booraem, pursuant to a Power of Attorney filed September 9, 2013, see File Number 005-56905, Incorporated by Reference</w:t>
      </w:r>
    </w:p>
    <w:sectPr>
      <w:pgSz w:w="11900" w:h="16838" w:orient="portrait"/>
      <w:cols w:equalWidth="0" w:num="1">
        <w:col w:w="11400"/>
      </w:cols>
      <w:pgMar w:left="240" w:top="589"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upperLetter"/>
      <w:start w:val="24"/>
    </w:lvl>
  </w:abstractNum>
  <w:abstractNum w:abstractNumId="1">
    <w:nsid w:val="3D1B58BA"/>
    <w:multiLevelType w:val="hybridMultilevel"/>
    <w:lvl w:ilvl="0">
      <w:lvlJc w:val="left"/>
      <w:lvlText w:val="%1."/>
      <w:numFmt w:val="decimal"/>
      <w:start w:val="1"/>
    </w:lvl>
    <w:lvl w:ilvl="1">
      <w:lvlJc w:val="left"/>
      <w:lvlText w:val="%2"/>
      <w:numFmt w:val="upperLetter"/>
      <w:start w:val="1"/>
    </w:lvl>
  </w:abstractNum>
  <w:abstractNum w:abstractNumId="2">
    <w:nsid w:val="507ED7AB"/>
    <w:multiLevelType w:val="hybridMultilevel"/>
    <w:lvl w:ilvl="0">
      <w:lvlJc w:val="left"/>
      <w:lvlText w:val="%1."/>
      <w:numFmt w:val="decimal"/>
      <w:start w:val="5"/>
    </w:lvl>
  </w:abstractNum>
  <w:abstractNum w:abstractNumId="3">
    <w:nsid w:val="2EB141F2"/>
    <w:multiLevelType w:val="hybridMultilevel"/>
    <w:lvl w:ilvl="0">
      <w:lvlJc w:val="left"/>
      <w:lvlText w:val="%1."/>
      <w:numFmt w:val="decimal"/>
      <w:start w:val="12"/>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Letter"/>
      <w:start w:val="3"/>
    </w:lvl>
  </w:abstractNum>
  <w:abstractNum w:abstractNumId="6">
    <w:nsid w:val="7545E146"/>
    <w:multiLevelType w:val="hybridMultilevel"/>
    <w:lvl w:ilvl="0">
      <w:lvlJc w:val="left"/>
      <w:lvlText w:val="(%1)"/>
      <w:numFmt w:val="lowerLetter"/>
      <w:start w:val="9"/>
    </w:lvl>
  </w:abstractNum>
  <w:abstractNum w:abstractNumId="7">
    <w:nsid w:val="515F007C"/>
    <w:multiLevelType w:val="hybridMultilevel"/>
    <w:lvl w:ilvl="0">
      <w:lvlJc w:val="left"/>
      <w:lvlText w:val="(%1)"/>
      <w:numFmt w:val="lowerLetter"/>
      <w:start w:val="35"/>
    </w:lvl>
  </w:abstractNum>
  <w:abstractNum w:abstractNumId="8">
    <w:nsid w:val="5BD062C2"/>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2019-12-07T23:38:06Z</dcterms:created>
  <dcterms:modified xsi:type="dcterms:W3CDTF">2019-12-07T23:38:06Z</dcterms:modified>
</cp:coreProperties>
</file>