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8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23" w:lineRule="exact"/>
        <w:rPr>
          <w:sz w:val="24"/>
          <w:szCs w:val="24"/>
          <w:color w:val="auto"/>
        </w:rPr>
      </w:pPr>
    </w:p>
    <w:p>
      <w:pPr>
        <w:ind w:left="580" w:right="100" w:hanging="572"/>
        <w:spacing w:after="0" w:line="275" w:lineRule="auto"/>
        <w:tabs>
          <w:tab w:leader="none" w:pos="44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80" w:right="80" w:hanging="572"/>
        <w:spacing w:after="0" w:line="275" w:lineRule="auto"/>
        <w:tabs>
          <w:tab w:leader="none" w:pos="442"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8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3919220</wp:posOffset>
            </wp:positionH>
            <wp:positionV relativeFrom="paragraph">
              <wp:posOffset>-5080</wp:posOffset>
            </wp:positionV>
            <wp:extent cx="808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71120</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173990</wp:posOffset>
            </wp:positionV>
            <wp:extent cx="1491615"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AMERICAN ASSETS TRUST,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001-35030</w:t>
      </w: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AMERICAN ASSETS TRUST, L.P.</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333-202342-01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57150</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12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(American Assets Trust, Inc.)</w:t>
            </w:r>
          </w:p>
        </w:tc>
        <w:tc>
          <w:tcPr>
            <w:tcW w:w="16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27-3338708</w:t>
            </w:r>
          </w:p>
        </w:tc>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(American Assets Trust, Inc.)</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(American Assets Trust, L.P.)</w:t>
            </w:r>
          </w:p>
        </w:tc>
        <w:tc>
          <w:tcPr>
            <w:tcW w:w="16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27-3338894</w:t>
            </w:r>
          </w:p>
        </w:tc>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(American Assets Trust, L.P.)</w:t>
            </w:r>
          </w:p>
        </w:tc>
      </w:tr>
      <w:tr>
        <w:trPr>
          <w:trHeight w:val="193"/>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14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bl>
    <w:p>
      <w:pPr>
        <w:spacing w:after="0" w:line="26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3420 Carmel Mountain Road, Suite 100</w:t>
      </w:r>
    </w:p>
    <w:p>
      <w:pPr>
        <w:spacing w:after="0" w:line="2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San Diego, California 92121</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p>
      <w:pPr>
        <w:spacing w:after="0" w:line="1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(858) 350-2600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57150</wp:posOffset>
            </wp:positionV>
            <wp:extent cx="416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060"/>
          </w:cols>
          <w:pgMar w:left="320" w:top="229" w:right="519" w:bottom="0" w:gutter="0" w:footer="0" w:header="0"/>
        </w:sectPr>
      </w:pPr>
    </w:p>
    <w:p>
      <w:pPr>
        <w:spacing w:after="0" w:line="29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American Assets Trust, Inc.</w:t>
      </w:r>
    </w:p>
    <w:p>
      <w:pPr>
        <w:spacing w:after="0" w:line="5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American Assets Trust, L.P.</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140"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jc w:val="both"/>
        <w:ind w:firstLine="40"/>
        <w:spacing w:after="0" w:line="400" w:lineRule="auto"/>
        <w:rPr>
          <w:sz w:val="20"/>
          <w:szCs w:val="20"/>
          <w:color w:val="auto"/>
        </w:rPr>
      </w:pPr>
      <w:r>
        <w:rPr>
          <w:rFonts w:ascii="Times New Roman" w:cs="Times New Roman" w:eastAsia="Times New Roman" w:hAnsi="Times New Roman"/>
          <w:sz w:val="16"/>
          <w:szCs w:val="16"/>
          <w:color w:val="auto"/>
        </w:rPr>
        <w:t>Yes Yes</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both"/>
        <w:ind w:firstLine="40"/>
        <w:spacing w:after="0" w:line="309" w:lineRule="exact"/>
        <w:rPr>
          <w:sz w:val="20"/>
          <w:szCs w:val="20"/>
          <w:color w:val="auto"/>
        </w:rPr>
      </w:pPr>
      <w:r>
        <w:rPr>
          <w:rFonts w:ascii="MS PGothic" w:cs="MS PGothic" w:eastAsia="MS PGothic" w:hAnsi="MS PGothic"/>
          <w:sz w:val="19"/>
          <w:szCs w:val="19"/>
          <w:color w:val="auto"/>
        </w:rPr>
        <w:t>☐ ☐</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No</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70" w:lineRule="exact"/>
        <w:rPr>
          <w:sz w:val="24"/>
          <w:szCs w:val="24"/>
          <w:color w:val="auto"/>
        </w:rPr>
      </w:pPr>
    </w:p>
    <w:p>
      <w:pPr>
        <w:sectPr>
          <w:pgSz w:w="11900" w:h="16838" w:orient="portrait"/>
          <w:cols w:equalWidth="0" w:num="5">
            <w:col w:w="2200" w:space="540"/>
            <w:col w:w="220" w:space="40"/>
            <w:col w:w="300" w:space="100"/>
            <w:col w:w="240" w:space="40"/>
            <w:col w:w="7380"/>
          </w:cols>
          <w:pgMar w:left="320" w:top="229" w:right="519" w:bottom="0" w:gutter="0" w:footer="0" w:header="0"/>
          <w:type w:val="continuous"/>
        </w:sectPr>
      </w:pPr>
    </w:p>
    <w:p>
      <w:pPr>
        <w:ind w:left="340" w:right="380"/>
        <w:spacing w:after="0" w:line="281" w:lineRule="auto"/>
        <w:rPr>
          <w:sz w:val="20"/>
          <w:szCs w:val="20"/>
          <w:color w:val="auto"/>
        </w:rPr>
      </w:pPr>
      <w:r>
        <w:rPr>
          <w:rFonts w:ascii="Times New Roman" w:cs="Times New Roman" w:eastAsia="Times New Roman" w:hAnsi="Times New Roman"/>
          <w:sz w:val="18"/>
          <w:szCs w:val="18"/>
          <w:color w:val="auto"/>
        </w:rPr>
        <w:t>(American Assets Trust, L.P. became subject to filing requirements under Section 13 of the Securities Exchange Act of 1934, as amended, upon effectiveness of its Registration Statement on Form S-3 on February 6, 2015 and has filed all required reports subsequent to that date.)</w:t>
      </w:r>
    </w:p>
    <w:p>
      <w:pPr>
        <w:spacing w:after="0" w:line="1"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ectPr>
          <w:pgSz w:w="11900" w:h="16838" w:orient="portrait"/>
          <w:cols w:equalWidth="0" w:num="1">
            <w:col w:w="11060"/>
          </w:cols>
          <w:pgMar w:left="320" w:top="229" w:right="519" w:bottom="0" w:gutter="0" w:footer="0" w:header="0"/>
          <w:type w:val="continuous"/>
        </w:sectPr>
      </w:pPr>
    </w:p>
    <w:p>
      <w:pPr>
        <w:spacing w:after="0" w:line="28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American Assets Trust, Inc.</w:t>
      </w:r>
    </w:p>
    <w:p>
      <w:pPr>
        <w:spacing w:after="0" w:line="5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American Assets Trust, L.P.</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140"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jc w:val="both"/>
        <w:ind w:firstLine="40"/>
        <w:spacing w:after="0" w:line="400" w:lineRule="auto"/>
        <w:rPr>
          <w:sz w:val="20"/>
          <w:szCs w:val="20"/>
          <w:color w:val="auto"/>
        </w:rPr>
      </w:pPr>
      <w:r>
        <w:rPr>
          <w:rFonts w:ascii="Times New Roman" w:cs="Times New Roman" w:eastAsia="Times New Roman" w:hAnsi="Times New Roman"/>
          <w:sz w:val="16"/>
          <w:szCs w:val="16"/>
          <w:color w:val="auto"/>
        </w:rPr>
        <w:t>Yes Yes</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both"/>
        <w:ind w:firstLine="40"/>
        <w:spacing w:after="0" w:line="309" w:lineRule="exact"/>
        <w:rPr>
          <w:sz w:val="20"/>
          <w:szCs w:val="20"/>
          <w:color w:val="auto"/>
        </w:rPr>
      </w:pPr>
      <w:r>
        <w:rPr>
          <w:rFonts w:ascii="MS PGothic" w:cs="MS PGothic" w:eastAsia="MS PGothic" w:hAnsi="MS PGothic"/>
          <w:sz w:val="19"/>
          <w:szCs w:val="19"/>
          <w:color w:val="auto"/>
        </w:rPr>
        <w:t>☐ ☐</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No</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319" w:lineRule="exact"/>
        <w:rPr>
          <w:sz w:val="24"/>
          <w:szCs w:val="24"/>
          <w:color w:val="auto"/>
        </w:rPr>
      </w:pPr>
    </w:p>
    <w:p>
      <w:pPr>
        <w:sectPr>
          <w:pgSz w:w="11900" w:h="16838" w:orient="portrait"/>
          <w:cols w:equalWidth="0" w:num="5">
            <w:col w:w="2200" w:space="540"/>
            <w:col w:w="220" w:space="40"/>
            <w:col w:w="300" w:space="100"/>
            <w:col w:w="240" w:space="80"/>
            <w:col w:w="7340"/>
          </w:cols>
          <w:pgMar w:left="320" w:top="229" w:right="519" w:bottom="0" w:gutter="0" w:footer="0" w:header="0"/>
          <w:type w:val="continuous"/>
        </w:sect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060"/>
          </w:cols>
          <w:pgMar w:left="320" w:top="229" w:right="519" w:bottom="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American Assets Trust, Inc.</w:t>
            </w:r>
          </w:p>
        </w:tc>
        <w:tc>
          <w:tcPr>
            <w:tcW w:w="2700" w:type="dxa"/>
            <w:vAlign w:val="bottom"/>
            <w:vMerge w:val="restart"/>
          </w:tcPr>
          <w:p>
            <w:pPr>
              <w:ind w:left="740"/>
              <w:spacing w:after="0" w:line="201" w:lineRule="exact"/>
              <w:rPr>
                <w:sz w:val="20"/>
                <w:szCs w:val="20"/>
                <w:color w:val="auto"/>
              </w:rPr>
            </w:pPr>
            <w:r>
              <w:rPr>
                <w:rFonts w:ascii="MS PGothic" w:cs="MS PGothic" w:eastAsia="MS PGothic" w:hAnsi="MS PGothic"/>
                <w:sz w:val="20"/>
                <w:szCs w:val="20"/>
                <w:color w:val="auto"/>
              </w:rPr>
              <w:t>☒</w:t>
            </w:r>
          </w:p>
        </w:tc>
        <w:tc>
          <w:tcPr>
            <w:tcW w:w="4420" w:type="dxa"/>
            <w:vAlign w:val="bottom"/>
          </w:tcPr>
          <w:p>
            <w:pPr>
              <w:spacing w:after="0"/>
              <w:rPr>
                <w:sz w:val="20"/>
                <w:szCs w:val="20"/>
                <w:color w:val="auto"/>
              </w:rPr>
            </w:pPr>
          </w:p>
        </w:tc>
        <w:tc>
          <w:tcPr>
            <w:tcW w:w="840" w:type="dxa"/>
            <w:vAlign w:val="bottom"/>
            <w:vMerge w:val="restart"/>
          </w:tcPr>
          <w:p>
            <w:pPr>
              <w:ind w:left="6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vMerge w:val="continue"/>
          </w:tcPr>
          <w:p>
            <w:pPr>
              <w:spacing w:after="0"/>
              <w:rPr>
                <w:sz w:val="22"/>
                <w:szCs w:val="22"/>
                <w:color w:val="auto"/>
              </w:rPr>
            </w:pPr>
          </w:p>
        </w:tc>
        <w:tc>
          <w:tcPr>
            <w:tcW w:w="4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740"/>
              <w:spacing w:after="0" w:line="201" w:lineRule="exact"/>
              <w:rPr>
                <w:sz w:val="20"/>
                <w:szCs w:val="20"/>
                <w:color w:val="auto"/>
              </w:rPr>
            </w:pPr>
            <w:r>
              <w:rPr>
                <w:rFonts w:ascii="MS PGothic" w:cs="MS PGothic" w:eastAsia="MS PGothic" w:hAnsi="MS PGothic"/>
                <w:sz w:val="20"/>
                <w:szCs w:val="20"/>
                <w:color w:val="auto"/>
              </w:rPr>
              <w:t>☐</w:t>
            </w:r>
          </w:p>
        </w:tc>
        <w:tc>
          <w:tcPr>
            <w:tcW w:w="4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3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700" w:type="dxa"/>
            <w:vAlign w:val="bottom"/>
          </w:tcPr>
          <w:p>
            <w:pPr>
              <w:ind w:left="740"/>
              <w:spacing w:after="0" w:line="201" w:lineRule="exact"/>
              <w:rPr>
                <w:sz w:val="20"/>
                <w:szCs w:val="20"/>
                <w:color w:val="auto"/>
              </w:rPr>
            </w:pPr>
            <w:r>
              <w:rPr>
                <w:rFonts w:ascii="MS PGothic" w:cs="MS PGothic" w:eastAsia="MS PGothic" w:hAnsi="MS PGothic"/>
                <w:sz w:val="20"/>
                <w:szCs w:val="20"/>
                <w:color w:val="auto"/>
              </w:rPr>
              <w:t>☐</w:t>
            </w:r>
          </w:p>
        </w:tc>
        <w:tc>
          <w:tcPr>
            <w:tcW w:w="4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American Assets Trust, L.P.</w:t>
            </w:r>
          </w:p>
        </w:tc>
        <w:tc>
          <w:tcPr>
            <w:tcW w:w="2700" w:type="dxa"/>
            <w:vAlign w:val="bottom"/>
            <w:vMerge w:val="restart"/>
          </w:tcPr>
          <w:p>
            <w:pPr>
              <w:ind w:left="740"/>
              <w:spacing w:after="0" w:line="201" w:lineRule="exact"/>
              <w:rPr>
                <w:sz w:val="20"/>
                <w:szCs w:val="20"/>
                <w:color w:val="auto"/>
              </w:rPr>
            </w:pPr>
            <w:r>
              <w:rPr>
                <w:rFonts w:ascii="MS PGothic" w:cs="MS PGothic" w:eastAsia="MS PGothic" w:hAnsi="MS PGothic"/>
                <w:sz w:val="20"/>
                <w:szCs w:val="20"/>
                <w:color w:val="auto"/>
              </w:rPr>
              <w:t>☐</w:t>
            </w:r>
          </w:p>
        </w:tc>
        <w:tc>
          <w:tcPr>
            <w:tcW w:w="4420" w:type="dxa"/>
            <w:vAlign w:val="bottom"/>
          </w:tcPr>
          <w:p>
            <w:pPr>
              <w:spacing w:after="0"/>
              <w:rPr>
                <w:sz w:val="24"/>
                <w:szCs w:val="24"/>
                <w:color w:val="auto"/>
              </w:rPr>
            </w:pPr>
          </w:p>
        </w:tc>
        <w:tc>
          <w:tcPr>
            <w:tcW w:w="840" w:type="dxa"/>
            <w:vAlign w:val="bottom"/>
            <w:vMerge w:val="restart"/>
          </w:tcPr>
          <w:p>
            <w:pPr>
              <w:ind w:left="6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vMerge w:val="continue"/>
          </w:tcPr>
          <w:p>
            <w:pPr>
              <w:spacing w:after="0"/>
              <w:rPr>
                <w:sz w:val="22"/>
                <w:szCs w:val="22"/>
                <w:color w:val="auto"/>
              </w:rPr>
            </w:pPr>
          </w:p>
        </w:tc>
        <w:tc>
          <w:tcPr>
            <w:tcW w:w="4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740"/>
              <w:spacing w:after="0" w:line="201" w:lineRule="exact"/>
              <w:rPr>
                <w:sz w:val="20"/>
                <w:szCs w:val="20"/>
                <w:color w:val="auto"/>
              </w:rPr>
            </w:pPr>
            <w:r>
              <w:rPr>
                <w:rFonts w:ascii="MS PGothic" w:cs="MS PGothic" w:eastAsia="MS PGothic" w:hAnsi="MS PGothic"/>
                <w:sz w:val="20"/>
                <w:szCs w:val="20"/>
                <w:color w:val="auto"/>
              </w:rPr>
              <w:t>☒</w:t>
            </w:r>
          </w:p>
        </w:tc>
        <w:tc>
          <w:tcPr>
            <w:tcW w:w="4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3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700" w:type="dxa"/>
            <w:vAlign w:val="bottom"/>
          </w:tcPr>
          <w:p>
            <w:pPr>
              <w:ind w:left="740"/>
              <w:spacing w:after="0" w:line="201" w:lineRule="exact"/>
              <w:rPr>
                <w:sz w:val="20"/>
                <w:szCs w:val="20"/>
                <w:color w:val="auto"/>
              </w:rPr>
            </w:pPr>
            <w:r>
              <w:rPr>
                <w:rFonts w:ascii="MS PGothic" w:cs="MS PGothic" w:eastAsia="MS PGothic" w:hAnsi="MS PGothic"/>
                <w:sz w:val="20"/>
                <w:szCs w:val="20"/>
                <w:color w:val="auto"/>
              </w:rPr>
              <w:t>☐</w:t>
            </w:r>
          </w:p>
        </w:tc>
        <w:tc>
          <w:tcPr>
            <w:tcW w:w="4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20"/>
        <w:spacing w:after="0" w:line="201" w:lineRule="exact"/>
        <w:rPr>
          <w:sz w:val="20"/>
          <w:szCs w:val="20"/>
          <w:color w:val="auto"/>
        </w:rPr>
      </w:pPr>
      <w:r>
        <w:rPr>
          <w:rFonts w:ascii="MS PGothic" w:cs="MS PGothic" w:eastAsia="MS PGothic" w:hAnsi="MS PGothic"/>
          <w:sz w:val="20"/>
          <w:szCs w:val="20"/>
          <w:color w:val="auto"/>
        </w:rPr>
        <w: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ectPr>
          <w:pgSz w:w="11900" w:h="16838" w:orient="portrait"/>
          <w:cols w:equalWidth="0" w:num="1">
            <w:col w:w="11160"/>
          </w:cols>
          <w:pgMar w:left="320" w:top="306" w:right="419" w:bottom="1440" w:gutter="0" w:footer="0" w:header="0"/>
        </w:sect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American Assets Trust, Inc.</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American Assets Trust, L.P.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both"/>
        <w:ind w:firstLine="40"/>
        <w:spacing w:after="0" w:line="417" w:lineRule="auto"/>
        <w:rPr>
          <w:sz w:val="20"/>
          <w:szCs w:val="20"/>
          <w:color w:val="auto"/>
        </w:rPr>
      </w:pPr>
      <w:r>
        <w:rPr>
          <w:rFonts w:ascii="Times New Roman" w:cs="Times New Roman" w:eastAsia="Times New Roman" w:hAnsi="Times New Roman"/>
          <w:sz w:val="16"/>
          <w:szCs w:val="16"/>
          <w:color w:val="auto"/>
        </w:rPr>
        <w:t>Yes Yes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firstLine="40"/>
        <w:spacing w:after="0" w:line="316" w:lineRule="exact"/>
        <w:rPr>
          <w:sz w:val="20"/>
          <w:szCs w:val="20"/>
          <w:color w:val="auto"/>
        </w:rPr>
      </w:pPr>
      <w:r>
        <w:rPr>
          <w:rFonts w:ascii="MS PGothic" w:cs="MS PGothic" w:eastAsia="MS PGothic" w:hAnsi="MS PGothic"/>
          <w:sz w:val="19"/>
          <w:szCs w:val="19"/>
          <w:color w:val="auto"/>
        </w:rPr>
        <w:t>☒ ☒</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52" w:lineRule="exact"/>
        <w:rPr>
          <w:sz w:val="20"/>
          <w:szCs w:val="20"/>
          <w:color w:val="auto"/>
        </w:rPr>
      </w:pPr>
    </w:p>
    <w:p>
      <w:pPr>
        <w:sectPr>
          <w:pgSz w:w="11900" w:h="16838" w:orient="portrait"/>
          <w:cols w:equalWidth="0" w:num="5">
            <w:col w:w="2200" w:space="540"/>
            <w:col w:w="200" w:space="40"/>
            <w:col w:w="300" w:space="140"/>
            <w:col w:w="240" w:space="40"/>
            <w:col w:w="7460"/>
          </w:cols>
          <w:pgMar w:left="320" w:top="306"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Registrant</w:t>
            </w:r>
          </w:p>
        </w:tc>
        <w:tc>
          <w:tcPr>
            <w:tcW w:w="520" w:type="dxa"/>
            <w:vAlign w:val="bottom"/>
          </w:tcPr>
          <w:p>
            <w:pPr>
              <w:spacing w:after="0"/>
              <w:rPr>
                <w:sz w:val="17"/>
                <w:szCs w:val="17"/>
                <w:color w:val="auto"/>
              </w:rPr>
            </w:pPr>
          </w:p>
        </w:tc>
        <w:tc>
          <w:tcPr>
            <w:tcW w:w="3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63"/>
        </w:trPr>
        <w:tc>
          <w:tcPr>
            <w:tcW w:w="2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American Assets Trust, Inc.</w:t>
            </w:r>
          </w:p>
        </w:tc>
        <w:tc>
          <w:tcPr>
            <w:tcW w:w="34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00" w:type="dxa"/>
            <w:vAlign w:val="bottom"/>
          </w:tcPr>
          <w:p>
            <w:pPr>
              <w:spacing w:after="0"/>
              <w:rPr>
                <w:sz w:val="22"/>
                <w:szCs w:val="22"/>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1"/>
              </w:rPr>
              <w:t>AAT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43"/>
        </w:trPr>
        <w:tc>
          <w:tcPr>
            <w:tcW w:w="2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American Assets Trust, L.P.</w:t>
            </w:r>
          </w:p>
        </w:tc>
        <w:tc>
          <w:tcPr>
            <w:tcW w:w="1080" w:type="dxa"/>
            <w:vAlign w:val="bottom"/>
          </w:tcPr>
          <w:p>
            <w:pPr>
              <w:spacing w:after="0"/>
              <w:rPr>
                <w:sz w:val="21"/>
                <w:szCs w:val="21"/>
                <w:color w:val="auto"/>
              </w:rPr>
            </w:pPr>
          </w:p>
        </w:tc>
        <w:tc>
          <w:tcPr>
            <w:tcW w:w="238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rPr>
              <w:t>None</w:t>
            </w:r>
          </w:p>
        </w:tc>
        <w:tc>
          <w:tcPr>
            <w:tcW w:w="200" w:type="dxa"/>
            <w:vAlign w:val="bottom"/>
          </w:tcPr>
          <w:p>
            <w:pPr>
              <w:spacing w:after="0"/>
              <w:rPr>
                <w:sz w:val="21"/>
                <w:szCs w:val="21"/>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None</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Assets Trust, Inc. had 61,402,515 shares of common stock, par value $0.01 per share, outstanding as of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06" w:right="4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quarter ended September 30, 2026 of American Assets Trust, Inc., a Maryland corporation, and American Assets Trust, L.P., a Maryland limited partnership, of which American Assets Trust, Inc. is the parent company and sole general partner. Unless otherwise indicated or unless the context requires otherwise, all references in this report to “we,” “us,” “our” or “the company” refer to American Assets Trust, Inc. together with its consolidated subsidiaries, including American Assets Trust, L.P. Unless otherwise indicated or unless the context requires otherwise, all references in this report to “our Operating Partnership” or “the Operating Partnership” refer to American Assets Trust, L.P. together with its consolidated subsidiaries.</w:t>
      </w:r>
    </w:p>
    <w:p>
      <w:pPr>
        <w:spacing w:after="0" w:line="214"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American Assets Trust, Inc. operates as a real estate investment trust, or REIT, and is the sole general partner of the Operating Partnership. As of September 30, 2026, American Assets Trust, Inc. owned an approximate 78.96% partnership interest in the Operating Partnership. The remaining approximately 21.04% partnership interests are owned by non-affiliated investors and certain of our directors and executive officers. As the sole general partner of the Operating Partnership, American Assets Trust, Inc. has full, exclusive and complete authority and control over the Operating Partnership’s day-to-day management and business, can cause it to enter into certain major transactions, including acquisitions, dispositions and debt refinancings, and can cause changes in its line of business, capital structure and distribution policies.</w:t>
      </w:r>
    </w:p>
    <w:p>
      <w:pPr>
        <w:spacing w:after="0" w:line="214" w:lineRule="exact"/>
        <w:rPr>
          <w:sz w:val="20"/>
          <w:szCs w:val="20"/>
          <w:color w:val="auto"/>
        </w:rPr>
      </w:pPr>
    </w:p>
    <w:p>
      <w:pPr>
        <w:ind w:right="840" w:firstLine="445"/>
        <w:spacing w:after="0" w:line="282" w:lineRule="auto"/>
        <w:rPr>
          <w:sz w:val="20"/>
          <w:szCs w:val="20"/>
          <w:color w:val="auto"/>
        </w:rPr>
      </w:pPr>
      <w:r>
        <w:rPr>
          <w:rFonts w:ascii="Times New Roman" w:cs="Times New Roman" w:eastAsia="Times New Roman" w:hAnsi="Times New Roman"/>
          <w:sz w:val="18"/>
          <w:szCs w:val="18"/>
          <w:color w:val="auto"/>
        </w:rPr>
        <w:t>American Assets Trust, Inc. believes that combining the quarterly reports on Form 10-Q of American Assets Trust, Inc. and the Operating Partnership into a single report will result in the following benefits:</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reflects how management and the analyst community view the business as a single operating unit;</w:t>
      </w:r>
    </w:p>
    <w:p>
      <w:pPr>
        <w:spacing w:after="0" w:line="27"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American Assets Trust, Inc. and the Operating Partnership by enabling them to view the business as a whole and in the same manner as management;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efficiency for American Assets Trust, Inc. and the Operating Partnership and resulting savings in time, effort and expense;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efficiency for investors by reducing duplicative disclosure by providing a single document for their review.</w:t>
      </w:r>
    </w:p>
    <w:p>
      <w:pPr>
        <w:spacing w:after="0" w:line="234"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management of American Assets Trust, Inc. and the Operating Partnership is the same and operates American Assets Trust, Inc. and the Operating Partnership as one enterprise.</w:t>
      </w:r>
    </w:p>
    <w:p>
      <w:pPr>
        <w:spacing w:after="0" w:line="18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There are certain differences between American Assets Trust, Inc. and the Operating Partnership, which are reflected in the disclosures in this report. We believe it is important to understand the differences between American Assets Trust, Inc. and the Operating Partnership in the context of how American Assets Trust, Inc. and the Operating Partnership operate as an interrelated consolidated company. American Assets Trust, Inc. is a REIT, whose only material asset is its ownership of partnership interests of the Operating Partnership. As a result, American Assets Trust, Inc. does not conduct business itself, other than acting as the sole general partner of the Operating Partnership, issuing public equity from time to time and guaranteeing certain debt of the Operating Partnership. American Assets Trust, Inc. itself does not hold any indebtedness. The Operating Partnership holds substantially all the assets of the company, directly or indirectly holds the ownership interests in the company's real estate ventures, conducts the operations of the business and is structured as a partnership with no publicly traded equity. Except for net proceeds from public equity issuances by American Assets Trust, Inc., which are generally contributed to the Operating Partnership in exchange for partnership units, the Operating Partnership generates the capital required by American Assets Trust, Inc.'s business through the Operating Partnership’s operations, by the Operating Partnership’s direct or indirect incurrence of indebtedness or through the issuance of Operating Partnership units.</w:t>
      </w:r>
    </w:p>
    <w:p>
      <w:pPr>
        <w:spacing w:after="0" w:line="219" w:lineRule="exact"/>
        <w:rPr>
          <w:sz w:val="20"/>
          <w:szCs w:val="20"/>
          <w:color w:val="auto"/>
        </w:rPr>
      </w:pPr>
    </w:p>
    <w:p>
      <w:pPr>
        <w:ind w:right="40" w:firstLine="445"/>
        <w:spacing w:after="0" w:line="277" w:lineRule="auto"/>
        <w:rPr>
          <w:sz w:val="20"/>
          <w:szCs w:val="20"/>
          <w:color w:val="auto"/>
        </w:rPr>
      </w:pPr>
      <w:r>
        <w:rPr>
          <w:rFonts w:ascii="Times New Roman" w:cs="Times New Roman" w:eastAsia="Times New Roman" w:hAnsi="Times New Roman"/>
          <w:sz w:val="17"/>
          <w:szCs w:val="17"/>
          <w:color w:val="auto"/>
        </w:rPr>
        <w:t>Noncontrolling interests and stockholders’ equity and partners’ capital are the main areas of difference between the consolidated financial statements of American Assets Trust, Inc. and those of American Assets Trust, L.P. The partnership interests in the Operating Partnership that are not owned by American Assets Trust, Inc. are accounted for as partners’ capital in the Operating Partnership’s financial statements and as noncontrolling interests in American Assets Trust, Inc.’s financial statements. To help investors understand the significant differences between American Assets Trust, Inc. and the Operating Partnership, this report presents the following separate sections for each of American Assets Trust, Inc. and the Operating Partnership:</w:t>
      </w:r>
    </w:p>
    <w:p>
      <w:pPr>
        <w:spacing w:after="0" w:line="19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notes to the consolidated financial statements: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Equity/Partners' Capital;</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Share/Unit;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in Management's Discussion and Analysis of Financial Condition and Results of Operations.</w:t>
      </w:r>
    </w:p>
    <w:p>
      <w:pPr>
        <w:spacing w:after="0" w:line="25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This report also includes separate Item 4. Controls and Procedures sections and separate Exhibit 31 and 32 certifications for each of American Assets Trust, Inc. and the Operating Partnership in order to establish that the Chief Executive Officer and the Chief Financial Officer of American Assets Trust, Inc. have made the requisite certifications and American Assets Trust, Inc. and the Operating Partnership are compliant with Rule 13a-15 or Rule 15d-15 of the Securities Exchange Act of 1934, as amended,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841375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10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710628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 1. FINANCIAL INFORMATION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CCEEFF"/>
            </w:tcBorders>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 of American Assets Trust, Inc.:</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4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September 30, 2026 (unaudited) and December 31, 2025</w:t>
            </w:r>
          </w:p>
        </w:tc>
        <w:tc>
          <w:tcPr>
            <w:tcW w:w="20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CCEEFF"/>
            </w:tcBorders>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4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Comprehensive Income (unaudited) for the three and nine months ended September 30, 2026</w:t>
            </w:r>
          </w:p>
        </w:tc>
        <w:tc>
          <w:tcPr>
            <w:tcW w:w="2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76"/>
        </w:trPr>
        <w:tc>
          <w:tcPr>
            <w:tcW w:w="60" w:type="dxa"/>
            <w:vAlign w:val="bottom"/>
            <w:tcBorders>
              <w:right w:val="single" w:sz="8" w:color="CCEEFF"/>
            </w:tcBorders>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740" w:type="dxa"/>
            <w:vAlign w:val="bottom"/>
            <w:tcBorders>
              <w:top w:val="single" w:sz="8" w:color="0000FF"/>
            </w:tcBorders>
            <w:gridSpan w:val="1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and 2025</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Equity (unaudited) for the three and nine months ended September 30, 2026 and 2025</w:t>
            </w: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CCEEFF"/>
            </w:tcBorders>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80" w:type="dxa"/>
            <w:vAlign w:val="bottom"/>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Statements of Cash Flows (unaudited) for the nine months ended September 30, 2026 and 2025</w:t>
            </w:r>
          </w:p>
        </w:tc>
        <w:tc>
          <w:tcPr>
            <w:tcW w:w="1560" w:type="dxa"/>
            <w:vAlign w:val="bottom"/>
            <w:gridSpan w:val="4"/>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Consolidated Financial Statements of American Assets Trust, L.P.:</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CCEEFF"/>
            </w:tcBorders>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2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Balance Sheets as of September 30, 2026 (unaudited) and December 31, 2025</w:t>
            </w:r>
          </w:p>
        </w:tc>
        <w:tc>
          <w:tcPr>
            <w:tcW w:w="2820" w:type="dxa"/>
            <w:vAlign w:val="bottom"/>
            <w:gridSpan w:val="5"/>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4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Comprehensive Income (unaudited) for the three and nine months ended September 30, 2026</w:t>
            </w: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740" w:type="dxa"/>
            <w:vAlign w:val="bottom"/>
            <w:tcBorders>
              <w:top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and 2025</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Consolidated Statement of Partners' Capital (unaudited) for the three and nine months ended September 30, 2026 and 2025</w:t>
            </w:r>
          </w:p>
        </w:tc>
        <w:tc>
          <w:tcPr>
            <w:tcW w:w="5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6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 (unaudited) for the nine months ended September 30, 2026 and 2025</w:t>
            </w:r>
          </w:p>
        </w:tc>
        <w:tc>
          <w:tcPr>
            <w:tcW w:w="58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CCEEFF"/>
            </w:tcBorders>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4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20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1004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1004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940" w:type="dxa"/>
            <w:vAlign w:val="bottom"/>
            <w:tcBorders>
              <w:top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5740" w:type="dxa"/>
            <w:vAlign w:val="bottom"/>
            <w:tcBorders>
              <w:top w:val="single" w:sz="8" w:color="CCEEFF"/>
            </w:tcBorders>
            <w:gridSpan w:val="8"/>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Borders>
              <w:right w:val="single" w:sz="8" w:color="CCEEFF"/>
            </w:tcBorders>
          </w:tcPr>
          <w:p>
            <w:pPr>
              <w:spacing w:after="0"/>
              <w:rPr>
                <w:sz w:val="21"/>
                <w:szCs w:val="21"/>
                <w:color w:val="auto"/>
              </w:rPr>
            </w:pPr>
          </w:p>
        </w:tc>
        <w:tc>
          <w:tcPr>
            <w:tcW w:w="109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1004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CCEEFF"/>
            </w:tcBorders>
          </w:tcPr>
          <w:p>
            <w:pPr>
              <w:spacing w:after="0"/>
              <w:rPr>
                <w:sz w:val="17"/>
                <w:szCs w:val="17"/>
                <w:color w:val="auto"/>
              </w:rPr>
            </w:pPr>
          </w:p>
        </w:tc>
        <w:tc>
          <w:tcPr>
            <w:tcW w:w="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004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1004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1004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940" w:type="dxa"/>
            <w:vAlign w:val="bottom"/>
            <w:tcBorders>
              <w:top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7720" w:type="dxa"/>
            <w:vAlign w:val="bottom"/>
            <w:tcBorders>
              <w:top w:val="single" w:sz="8" w:color="CCEEFF"/>
            </w:tcBorders>
            <w:gridSpan w:val="10"/>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9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720" w:type="dxa"/>
            <w:vAlign w:val="bottom"/>
            <w:tcBorders>
              <w:bottom w:val="single" w:sz="8" w:color="CCEEFF"/>
            </w:tcBorders>
            <w:gridSpan w:val="13"/>
            <w:shd w:val="clear" w:color="auto" w:fill="CCEEFF"/>
          </w:tcPr>
          <w:p>
            <w:pPr>
              <w:spacing w:after="0"/>
              <w:rPr>
                <w:sz w:val="19"/>
                <w:szCs w:val="19"/>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004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109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22"/>
        </w:trPr>
        <w:tc>
          <w:tcPr>
            <w:tcW w:w="60" w:type="dxa"/>
            <w:vAlign w:val="bottom"/>
            <w:tcBorders>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17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12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15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at cost</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real estate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3,724,574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3,694,203</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Held for development</w:t>
            </w: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3,817,717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3,763,627</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(1,213,965)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(1,144,259)</w:t>
            </w: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 estate</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2,603,752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2,619,368</w:t>
            </w:r>
          </w:p>
        </w:tc>
        <w:tc>
          <w:tcPr>
            <w:tcW w:w="0" w:type="dxa"/>
            <w:vAlign w:val="bottom"/>
          </w:tcPr>
          <w:p>
            <w:pPr>
              <w:spacing w:after="0"/>
              <w:rPr>
                <w:sz w:val="1"/>
                <w:szCs w:val="1"/>
                <w:color w:val="auto"/>
              </w:rPr>
            </w:pPr>
          </w:p>
        </w:tc>
      </w:tr>
      <w:tr>
        <w:trPr>
          <w:trHeight w:val="24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0" w:type="dxa"/>
            <w:vAlign w:val="bottom"/>
          </w:tcPr>
          <w:p>
            <w:pPr>
              <w:spacing w:after="0"/>
              <w:rPr>
                <w:sz w:val="1"/>
                <w:szCs w:val="1"/>
                <w:color w:val="auto"/>
              </w:rPr>
            </w:pPr>
          </w:p>
        </w:tc>
      </w:tr>
      <w:tr>
        <w:trPr>
          <w:trHeight w:val="24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rent receivables, net</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84,642</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net</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80,497</w:t>
            </w:r>
          </w:p>
        </w:tc>
        <w:tc>
          <w:tcPr>
            <w:tcW w:w="0" w:type="dxa"/>
            <w:vAlign w:val="bottom"/>
          </w:tcPr>
          <w:p>
            <w:pPr>
              <w:spacing w:after="0"/>
              <w:rPr>
                <w:sz w:val="1"/>
                <w:szCs w:val="1"/>
                <w:color w:val="auto"/>
              </w:rPr>
            </w:pPr>
          </w:p>
        </w:tc>
      </w:tr>
      <w:tr>
        <w:trPr>
          <w:trHeight w:val="23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2,866,166</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2,921,276</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Secured notes payable,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74,849</w:t>
            </w:r>
          </w:p>
        </w:tc>
        <w:tc>
          <w:tcPr>
            <w:tcW w:w="0" w:type="dxa"/>
            <w:vAlign w:val="bottom"/>
          </w:tcPr>
          <w:p>
            <w:pPr>
              <w:spacing w:after="0"/>
              <w:rPr>
                <w:sz w:val="1"/>
                <w:szCs w:val="1"/>
                <w:color w:val="auto"/>
              </w:rPr>
            </w:pPr>
          </w:p>
        </w:tc>
      </w:tr>
      <w:tr>
        <w:trPr>
          <w:trHeight w:val="243"/>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Unsecured notes payable, net</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1,612,761</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71,094</w:t>
            </w:r>
          </w:p>
        </w:tc>
        <w:tc>
          <w:tcPr>
            <w:tcW w:w="0" w:type="dxa"/>
            <w:vAlign w:val="bottom"/>
          </w:tcPr>
          <w:p>
            <w:pPr>
              <w:spacing w:after="0"/>
              <w:rPr>
                <w:sz w:val="1"/>
                <w:szCs w:val="1"/>
                <w:color w:val="auto"/>
              </w:rPr>
            </w:pPr>
          </w:p>
        </w:tc>
      </w:tr>
      <w:tr>
        <w:trPr>
          <w:trHeight w:val="243"/>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61,304</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1,827,582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1,830,071</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American Assets Trust, Inc. stockholders’ equity</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Common stock, $0.01 par value, 490,000,000 shares authorized, 61,402,515 and</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440" w:type="dxa"/>
            <w:vAlign w:val="bottom"/>
          </w:tcPr>
          <w:p>
            <w:pPr>
              <w:ind w:left="880"/>
              <w:spacing w:after="0" w:line="181" w:lineRule="exact"/>
              <w:rPr>
                <w:sz w:val="20"/>
                <w:szCs w:val="20"/>
                <w:color w:val="auto"/>
              </w:rPr>
            </w:pPr>
            <w:r>
              <w:rPr>
                <w:rFonts w:ascii="Times New Roman" w:cs="Times New Roman" w:eastAsia="Times New Roman" w:hAnsi="Times New Roman"/>
                <w:sz w:val="18"/>
                <w:szCs w:val="18"/>
                <w:color w:val="auto"/>
              </w:rPr>
              <w:t>61,390,936 shares issued and outstanding at September 30, 2026 and December 31, 2025,</w:t>
            </w:r>
          </w:p>
        </w:tc>
        <w:tc>
          <w:tcPr>
            <w:tcW w:w="2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9"/>
        </w:trPr>
        <w:tc>
          <w:tcPr>
            <w:tcW w:w="7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1,484,916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1,479,870</w:t>
            </w:r>
          </w:p>
        </w:tc>
        <w:tc>
          <w:tcPr>
            <w:tcW w:w="0" w:type="dxa"/>
            <w:vAlign w:val="bottom"/>
          </w:tcPr>
          <w:p>
            <w:pPr>
              <w:spacing w:after="0"/>
              <w:rPr>
                <w:sz w:val="1"/>
                <w:szCs w:val="1"/>
                <w:color w:val="auto"/>
              </w:rPr>
            </w:pPr>
          </w:p>
        </w:tc>
      </w:tr>
      <w:tr>
        <w:trPr>
          <w:trHeight w:val="243"/>
        </w:trPr>
        <w:tc>
          <w:tcPr>
            <w:tcW w:w="7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(331,086)</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36"/>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American Assets Trust, Inc. stockholders’ equity</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1,150,817</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(59,612)</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1,038,584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1,091,205</w:t>
            </w:r>
          </w:p>
        </w:tc>
        <w:tc>
          <w:tcPr>
            <w:tcW w:w="0" w:type="dxa"/>
            <w:vAlign w:val="bottom"/>
          </w:tcPr>
          <w:p>
            <w:pPr>
              <w:spacing w:after="0"/>
              <w:rPr>
                <w:sz w:val="1"/>
                <w:szCs w:val="1"/>
                <w:color w:val="auto"/>
              </w:rPr>
            </w:pPr>
          </w:p>
        </w:tc>
      </w:tr>
      <w:tr>
        <w:trPr>
          <w:trHeight w:val="26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2,866,166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2,921,276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306,243</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income</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0" w:type="dxa"/>
            <w:vAlign w:val="bottom"/>
          </w:tcPr>
          <w:p>
            <w:pPr>
              <w:spacing w:after="0"/>
              <w:rPr>
                <w:sz w:val="1"/>
                <w:szCs w:val="1"/>
                <w:color w:val="auto"/>
              </w:rPr>
            </w:pPr>
          </w:p>
        </w:tc>
      </w:tr>
      <w:tr>
        <w:trPr>
          <w:trHeight w:val="237"/>
        </w:trPr>
        <w:tc>
          <w:tcPr>
            <w:tcW w:w="5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326,118</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91,746</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0" w:type="dxa"/>
            <w:vAlign w:val="bottom"/>
          </w:tcPr>
          <w:p>
            <w:pPr>
              <w:spacing w:after="0"/>
              <w:rPr>
                <w:sz w:val="1"/>
                <w:szCs w:val="1"/>
                <w:color w:val="auto"/>
              </w:rPr>
            </w:pPr>
          </w:p>
        </w:tc>
      </w:tr>
      <w:tr>
        <w:trPr>
          <w:trHeight w:val="237"/>
        </w:trPr>
        <w:tc>
          <w:tcPr>
            <w:tcW w:w="5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247,877</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122,717</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(58,337)</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67,149</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restricted shares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Net income attributable to unitholders in the Operating</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NET INCOME ATTRIBUTABLE TO AMERICAN ASSETS</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tcPr>
          <w:p>
            <w:pPr>
              <w:spacing w:after="0"/>
              <w:rPr>
                <w:sz w:val="14"/>
                <w:szCs w:val="14"/>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2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tcPr>
          <w:p>
            <w:pPr>
              <w:spacing w:after="0"/>
              <w:rPr>
                <w:sz w:val="14"/>
                <w:szCs w:val="14"/>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r>
        <w:trPr>
          <w:trHeight w:val="22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TRUST, INC. STOCKHOLDERS</w:t>
            </w: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60,715,491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60,546,480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60,705,574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60,541,335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76,897,028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76,728,017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76,887,111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76,722,872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40"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 w:lineRule="exact"/>
        <w:rPr>
          <w:sz w:val="20"/>
          <w:szCs w:val="20"/>
          <w:color w:val="auto"/>
        </w:rPr>
      </w:pPr>
    </w:p>
    <w:p>
      <w:pPr>
        <w:ind w:left="20" w:right="200"/>
        <w:spacing w:after="0" w:line="237" w:lineRule="auto"/>
        <w:rPr>
          <w:sz w:val="20"/>
          <w:szCs w:val="20"/>
          <w:color w:val="auto"/>
        </w:rPr>
      </w:pPr>
      <w:r>
        <w:rPr>
          <w:rFonts w:ascii="Times New Roman" w:cs="Times New Roman" w:eastAsia="Times New Roman" w:hAnsi="Times New Roman"/>
          <w:sz w:val="18"/>
          <w:szCs w:val="18"/>
          <w:color w:val="auto"/>
        </w:rPr>
        <w:t>Other comprehensive loss - unrealized loss on swap derivatives during the period</w:t>
      </w:r>
    </w:p>
    <w:p>
      <w:pPr>
        <w:spacing w:after="0" w:line="23" w:lineRule="exact"/>
        <w:rPr>
          <w:sz w:val="20"/>
          <w:szCs w:val="20"/>
          <w:color w:val="auto"/>
        </w:rPr>
      </w:pPr>
    </w:p>
    <w:p>
      <w:pPr>
        <w:ind w:left="20" w:right="240"/>
        <w:spacing w:after="0" w:line="237" w:lineRule="auto"/>
        <w:rPr>
          <w:sz w:val="20"/>
          <w:szCs w:val="20"/>
          <w:color w:val="auto"/>
        </w:rPr>
      </w:pPr>
      <w:r>
        <w:rPr>
          <w:rFonts w:ascii="Times New Roman" w:cs="Times New Roman" w:eastAsia="Times New Roman" w:hAnsi="Times New Roman"/>
          <w:sz w:val="18"/>
          <w:szCs w:val="18"/>
          <w:color w:val="auto"/>
        </w:rPr>
        <w:t>Reclassification of amortization of forward-starting swaps included in interest expense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10,018</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5,921</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23,547</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67,149</w:t>
            </w:r>
          </w:p>
        </w:tc>
      </w:tr>
      <w:tr>
        <w:trPr>
          <w:trHeight w:val="432"/>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6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430"/>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bl>
    <w:p>
      <w:pPr>
        <w:spacing w:after="0" w:line="1" w:lineRule="exact"/>
        <w:rPr>
          <w:sz w:val="20"/>
          <w:szCs w:val="20"/>
          <w:color w:val="auto"/>
        </w:rPr>
      </w:pPr>
    </w:p>
    <w:p>
      <w:pPr>
        <w:sectPr>
          <w:pgSz w:w="11900" w:h="16838" w:orient="portrait"/>
          <w:cols w:equalWidth="0" w:num="2">
            <w:col w:w="5300" w:space="720"/>
            <w:col w:w="5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5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9,198</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5,037</w:t>
            </w: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21,466</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63,789</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8"/>
              </w:rPr>
              <w:t>(1,886)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8"/>
              </w:rPr>
              <w:t>(1,019)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(13,322)</w:t>
            </w: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ind w:left="360"/>
              <w:spacing w:after="0" w:line="169" w:lineRule="exact"/>
              <w:rPr>
                <w:sz w:val="20"/>
                <w:szCs w:val="20"/>
                <w:color w:val="auto"/>
              </w:rPr>
            </w:pPr>
            <w:r>
              <w:rPr>
                <w:rFonts w:ascii="Times New Roman" w:cs="Times New Roman" w:eastAsia="Times New Roman" w:hAnsi="Times New Roman"/>
                <w:sz w:val="18"/>
                <w:szCs w:val="18"/>
                <w:color w:val="auto"/>
              </w:rPr>
              <w:t>Comprehensive income attributable to American Assets Trust,</w:t>
            </w:r>
          </w:p>
        </w:tc>
        <w:tc>
          <w:tcPr>
            <w:tcW w:w="5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7,312</w:t>
            </w:r>
          </w:p>
        </w:tc>
        <w:tc>
          <w:tcPr>
            <w:tcW w:w="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4,018</w:t>
            </w: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17,097</w:t>
            </w: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50,467</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w:t>
            </w: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American Assets Trust, Inc. Stockholders’ Equity</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2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8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3"/>
                <w:szCs w:val="3"/>
                <w:color w:val="auto"/>
              </w:rPr>
            </w:pPr>
          </w:p>
        </w:tc>
        <w:tc>
          <w:tcPr>
            <w:tcW w:w="122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Interests -</w:t>
            </w: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1360" w:type="dxa"/>
            <w:vAlign w:val="bottom"/>
            <w:gridSpan w:val="3"/>
            <w:vMerge w:val="continue"/>
          </w:tcPr>
          <w:p>
            <w:pPr>
              <w:spacing w:after="0"/>
              <w:rPr>
                <w:sz w:val="11"/>
                <w:szCs w:val="11"/>
                <w:color w:val="auto"/>
              </w:rPr>
            </w:pPr>
          </w:p>
        </w:tc>
        <w:tc>
          <w:tcPr>
            <w:tcW w:w="13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Unitholders in the</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61,390,936</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1,479,870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(331,086)</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1,091,205</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of interest rate swaps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forward-starting swaps included in</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6"/>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61,390,936</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1,481,552</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(346,589)</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(63,858)</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1,072,717</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(26,380)</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of interest rate swaps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forward-starting swaps included in</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7"/>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61,404,213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1,483,234</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(362,058)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(68,132)</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1,054,082</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interest rate swaps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forward-starting swaps included in</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61,402,515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1,484,916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(374,975)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1,038,584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American Assets Trust, Inc. Stockholders’ Equity</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2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8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3"/>
                <w:szCs w:val="3"/>
                <w:color w:val="auto"/>
              </w:rPr>
            </w:pPr>
          </w:p>
        </w:tc>
        <w:tc>
          <w:tcPr>
            <w:tcW w:w="122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Interests -</w:t>
            </w: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1360" w:type="dxa"/>
            <w:vAlign w:val="bottom"/>
            <w:gridSpan w:val="3"/>
            <w:vMerge w:val="continue"/>
          </w:tcPr>
          <w:p>
            <w:pPr>
              <w:spacing w:after="0"/>
              <w:rPr>
                <w:sz w:val="11"/>
                <w:szCs w:val="11"/>
                <w:color w:val="auto"/>
              </w:rPr>
            </w:pPr>
          </w:p>
        </w:tc>
        <w:tc>
          <w:tcPr>
            <w:tcW w:w="13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Unitholders in the</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61,138,238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1,474,869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1,124,321</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54,107</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(26,288)</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interest rate swaps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forward-starting swaps included in</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61,134,730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1,476,539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(282,387)</w:t>
            </w: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1,152,360</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(26,294)</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of interest rate swaps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forward-starting swaps included in</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6"/>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61,152,542</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1,478,222</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(50,280)</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1,133,845</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(26,294)</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of interest rate swaps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forward-starting swaps included in</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62"/>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61,152,542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(313,594)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1,114,391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67,149</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rent revenue and amortization of lease intangibles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r>
      <w:tr>
        <w:trPr>
          <w:trHeight w:val="24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Amortization of debt issuance costs and debt discounts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43"/>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Provision for uncollectible rental income</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w:t>
            </w:r>
          </w:p>
        </w:tc>
      </w:tr>
      <w:tr>
        <w:trPr>
          <w:trHeight w:val="243"/>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r>
      <w:tr>
        <w:trPr>
          <w:trHeight w:val="24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noncash interest expense, net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43"/>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accounts receivable</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4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other assets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r>
      <w:tr>
        <w:trPr>
          <w:trHeight w:val="243"/>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accounts payable and accrued expenses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4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security deposits payable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other liabilities and deferred credits</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7"/>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129,807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(67,879)</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(54,687)</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 net of selling costs</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117,784</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Leasing commissions</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36"/>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unsecured term loan</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unsecured notes payable</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 to common stock and unitholders</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(78,876)</w:t>
            </w:r>
          </w:p>
        </w:tc>
      </w:tr>
      <w:tr>
        <w:trPr>
          <w:trHeight w:val="237"/>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(403,876)</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(286,945)</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425,659</w:t>
            </w:r>
          </w:p>
        </w:tc>
      </w:tr>
      <w:tr>
        <w:trPr>
          <w:trHeight w:val="26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15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6"/>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at cost</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43"/>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real estate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3,724,574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3,694,203</w:t>
            </w:r>
          </w:p>
        </w:tc>
      </w:tr>
      <w:tr>
        <w:trPr>
          <w:trHeight w:val="243"/>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r>
      <w:tr>
        <w:trPr>
          <w:trHeight w:val="243"/>
        </w:trPr>
        <w:tc>
          <w:tcPr>
            <w:tcW w:w="7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Held for development</w:t>
            </w: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7"/>
        </w:trPr>
        <w:tc>
          <w:tcPr>
            <w:tcW w:w="7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3,817,717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3,763,627</w:t>
            </w:r>
          </w:p>
        </w:tc>
      </w:tr>
      <w:tr>
        <w:trPr>
          <w:trHeight w:val="243"/>
        </w:trPr>
        <w:tc>
          <w:tcPr>
            <w:tcW w:w="74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(1,213,965)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(1,144,259)</w:t>
            </w:r>
          </w:p>
        </w:tc>
      </w:tr>
      <w:tr>
        <w:trPr>
          <w:trHeight w:val="237"/>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 estate</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2,603,752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2,619,368</w:t>
            </w:r>
          </w:p>
        </w:tc>
      </w:tr>
      <w:tr>
        <w:trPr>
          <w:trHeight w:val="24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129,362</w:t>
            </w:r>
          </w:p>
        </w:tc>
      </w:tr>
      <w:tr>
        <w:trPr>
          <w:trHeight w:val="24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w:t>
            </w:r>
          </w:p>
        </w:tc>
      </w:tr>
      <w:tr>
        <w:trPr>
          <w:trHeight w:val="24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rent receivables, net</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84,642</w:t>
            </w:r>
          </w:p>
        </w:tc>
      </w:tr>
      <w:tr>
        <w:trPr>
          <w:trHeight w:val="24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net</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80,497</w:t>
            </w:r>
          </w:p>
        </w:tc>
      </w:tr>
      <w:tr>
        <w:trPr>
          <w:trHeight w:val="23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2,866,166</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2,921,276</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CAPITAL</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4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3"/>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Secured notes payable,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74,849</w:t>
            </w:r>
          </w:p>
        </w:tc>
      </w:tr>
      <w:tr>
        <w:trPr>
          <w:trHeight w:val="243"/>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Unsecured notes payable, net</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1,612,761</w:t>
            </w:r>
          </w:p>
        </w:tc>
      </w:tr>
      <w:tr>
        <w:trPr>
          <w:trHeight w:val="243"/>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71,094</w:t>
            </w:r>
          </w:p>
        </w:tc>
      </w:tr>
      <w:tr>
        <w:trPr>
          <w:trHeight w:val="243"/>
        </w:trPr>
        <w:tc>
          <w:tcPr>
            <w:tcW w:w="7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r>
      <w:tr>
        <w:trPr>
          <w:trHeight w:val="243"/>
        </w:trPr>
        <w:tc>
          <w:tcPr>
            <w:tcW w:w="7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61,304</w:t>
            </w:r>
          </w:p>
        </w:tc>
      </w:tr>
      <w:tr>
        <w:trPr>
          <w:trHeight w:val="237"/>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1,827,582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1,830,071</w:t>
            </w:r>
          </w:p>
        </w:tc>
      </w:tr>
      <w:tr>
        <w:trPr>
          <w:trHeight w:val="22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198"/>
        </w:trPr>
        <w:tc>
          <w:tcPr>
            <w:tcW w:w="7440" w:type="dxa"/>
            <w:vAlign w:val="bottom"/>
            <w:shd w:val="clear" w:color="auto" w:fill="CCEEFF"/>
          </w:tcPr>
          <w:p>
            <w:pPr>
              <w:ind w:left="880"/>
              <w:spacing w:after="0" w:line="198" w:lineRule="exact"/>
              <w:rPr>
                <w:sz w:val="20"/>
                <w:szCs w:val="20"/>
                <w:color w:val="auto"/>
              </w:rPr>
            </w:pPr>
            <w:r>
              <w:rPr>
                <w:rFonts w:ascii="Times New Roman" w:cs="Times New Roman" w:eastAsia="Times New Roman" w:hAnsi="Times New Roman"/>
                <w:sz w:val="18"/>
                <w:szCs w:val="18"/>
                <w:color w:val="auto"/>
              </w:rPr>
              <w:t>Limited partners' capital, 16,181,537 and 16,181,537 units issued and outstanding as of</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(60,522)</w:t>
            </w:r>
          </w:p>
        </w:tc>
      </w:tr>
      <w:tr>
        <w:trPr>
          <w:trHeight w:val="198"/>
        </w:trPr>
        <w:tc>
          <w:tcPr>
            <w:tcW w:w="744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General partner's capital, 61,402,515 and 61,390,936 units issued and outstanding as of</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4"/>
        </w:trPr>
        <w:tc>
          <w:tcPr>
            <w:tcW w:w="7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1,149,398</w:t>
            </w:r>
          </w:p>
        </w:tc>
      </w:tr>
      <w:tr>
        <w:trPr>
          <w:trHeight w:val="243"/>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36"/>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capital</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1,038,584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1,091,205</w:t>
            </w:r>
          </w:p>
        </w:tc>
      </w:tr>
      <w:tr>
        <w:trPr>
          <w:trHeight w:val="26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CAPITAL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2,866,166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2,921,276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Assets Trust,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Unit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315,374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306,243</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income</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0" w:type="dxa"/>
            <w:vAlign w:val="bottom"/>
          </w:tcPr>
          <w:p>
            <w:pPr>
              <w:spacing w:after="0"/>
              <w:rPr>
                <w:sz w:val="1"/>
                <w:szCs w:val="1"/>
                <w:color w:val="auto"/>
              </w:rPr>
            </w:pPr>
          </w:p>
        </w:tc>
      </w:tr>
      <w:tr>
        <w:trPr>
          <w:trHeight w:val="237"/>
        </w:trPr>
        <w:tc>
          <w:tcPr>
            <w:tcW w:w="5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334,359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326,118</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91,746</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w:t>
            </w:r>
          </w:p>
        </w:tc>
        <w:tc>
          <w:tcPr>
            <w:tcW w:w="0" w:type="dxa"/>
            <w:vAlign w:val="bottom"/>
          </w:tcPr>
          <w:p>
            <w:pPr>
              <w:spacing w:after="0"/>
              <w:rPr>
                <w:sz w:val="1"/>
                <w:szCs w:val="1"/>
                <w:color w:val="auto"/>
              </w:rPr>
            </w:pPr>
          </w:p>
        </w:tc>
      </w:tr>
      <w:tr>
        <w:trPr>
          <w:trHeight w:val="24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0" w:type="dxa"/>
            <w:vAlign w:val="bottom"/>
          </w:tcPr>
          <w:p>
            <w:pPr>
              <w:spacing w:after="0"/>
              <w:rPr>
                <w:sz w:val="1"/>
                <w:szCs w:val="1"/>
                <w:color w:val="auto"/>
              </w:rPr>
            </w:pPr>
          </w:p>
        </w:tc>
      </w:tr>
      <w:tr>
        <w:trPr>
          <w:trHeight w:val="237"/>
        </w:trPr>
        <w:tc>
          <w:tcPr>
            <w:tcW w:w="5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247,877</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0" w:type="dxa"/>
            <w:vAlign w:val="bottom"/>
          </w:tcPr>
          <w:p>
            <w:pPr>
              <w:spacing w:after="0"/>
              <w:rPr>
                <w:sz w:val="1"/>
                <w:szCs w:val="1"/>
                <w:color w:val="auto"/>
              </w:rPr>
            </w:pP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122,717</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(58,337)</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3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67,149</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restricted shares</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NET INCOME ATTRIBUTABLE TO AMERICAN ASSETS</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66,533</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TRUST, L.P.</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UNIT - BASIC</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unit, 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units outstanding - basic</w:t>
            </w: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76,897,028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76,728,017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76,887,111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76,722,872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UNIT - DILUTED</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unit, 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units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76,897,028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76,728,017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76,887,111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76,722,872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PER UNIT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40" w:lineRule="exact"/>
        <w:rPr>
          <w:sz w:val="20"/>
          <w:szCs w:val="20"/>
          <w:color w:val="auto"/>
        </w:rPr>
      </w:pPr>
    </w:p>
    <w:p>
      <w:pPr>
        <w:ind w:left="20"/>
        <w:spacing w:after="0"/>
        <w:tabs>
          <w:tab w:leader="none" w:pos="522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 w:lineRule="exact"/>
        <w:rPr>
          <w:sz w:val="20"/>
          <w:szCs w:val="20"/>
          <w:color w:val="auto"/>
        </w:rPr>
      </w:pPr>
    </w:p>
    <w:p>
      <w:pPr>
        <w:ind w:left="20" w:right="260"/>
        <w:spacing w:after="0" w:line="237" w:lineRule="auto"/>
        <w:rPr>
          <w:sz w:val="20"/>
          <w:szCs w:val="20"/>
          <w:color w:val="auto"/>
        </w:rPr>
      </w:pPr>
      <w:r>
        <w:rPr>
          <w:rFonts w:ascii="Times New Roman" w:cs="Times New Roman" w:eastAsia="Times New Roman" w:hAnsi="Times New Roman"/>
          <w:sz w:val="18"/>
          <w:szCs w:val="18"/>
          <w:color w:val="auto"/>
        </w:rPr>
        <w:t>Other comprehensive loss - unrealized loss on swap derivatives during the period</w:t>
      </w:r>
    </w:p>
    <w:p>
      <w:pPr>
        <w:spacing w:after="0" w:line="23" w:lineRule="exact"/>
        <w:rPr>
          <w:sz w:val="20"/>
          <w:szCs w:val="20"/>
          <w:color w:val="auto"/>
        </w:rPr>
      </w:pPr>
    </w:p>
    <w:p>
      <w:pPr>
        <w:ind w:left="20" w:right="300"/>
        <w:spacing w:after="0" w:line="237" w:lineRule="auto"/>
        <w:rPr>
          <w:sz w:val="20"/>
          <w:szCs w:val="20"/>
          <w:color w:val="auto"/>
        </w:rPr>
      </w:pPr>
      <w:r>
        <w:rPr>
          <w:rFonts w:ascii="Times New Roman" w:cs="Times New Roman" w:eastAsia="Times New Roman" w:hAnsi="Times New Roman"/>
          <w:sz w:val="18"/>
          <w:szCs w:val="18"/>
          <w:color w:val="auto"/>
        </w:rPr>
        <w:t>Reclassification of amortization of forward-starting swaps included in 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10,018</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5,921</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23,547</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67,149</w:t>
            </w:r>
          </w:p>
        </w:tc>
      </w:tr>
      <w:tr>
        <w:trPr>
          <w:trHeight w:val="432"/>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430"/>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bl>
    <w:p>
      <w:pPr>
        <w:spacing w:after="0" w:line="1" w:lineRule="exact"/>
        <w:rPr>
          <w:sz w:val="20"/>
          <w:szCs w:val="20"/>
          <w:color w:val="auto"/>
        </w:rPr>
      </w:pPr>
    </w:p>
    <w:p>
      <w:pPr>
        <w:sectPr>
          <w:pgSz w:w="11900" w:h="16838" w:orient="portrait"/>
          <w:cols w:equalWidth="0" w:num="2">
            <w:col w:w="5360" w:space="720"/>
            <w:col w:w="51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5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9,198</w:t>
            </w: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5,037</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21,466</w:t>
            </w: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63,789</w:t>
            </w:r>
          </w:p>
        </w:tc>
      </w:tr>
      <w:tr>
        <w:trPr>
          <w:trHeight w:val="24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Comprehensive income attributable to Limited Partners</w:t>
            </w: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(1,886)</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(4,369)</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(13,322)</w:t>
            </w:r>
          </w:p>
        </w:tc>
      </w:tr>
      <w:tr>
        <w:trPr>
          <w:trHeight w:val="262"/>
        </w:trPr>
        <w:tc>
          <w:tcPr>
            <w:tcW w:w="5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 attributable to General Partner</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7,312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4,018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17,097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50,467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Assets Trust,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Partners' Capital</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24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Limited Partners' Capital </w:t>
            </w:r>
            <w:r>
              <w:rPr>
                <w:rFonts w:ascii="Times New Roman" w:cs="Times New Roman" w:eastAsia="Times New Roman" w:hAnsi="Times New Roman"/>
                <w:sz w:val="18"/>
                <w:szCs w:val="18"/>
                <w:b w:val="1"/>
                <w:bCs w:val="1"/>
                <w:color w:val="auto"/>
                <w:vertAlign w:val="superscript"/>
              </w:rPr>
              <w:t>(1)</w:t>
            </w: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 xml:space="preserve">General Partner's Capital </w:t>
            </w:r>
            <w:r>
              <w:rPr>
                <w:rFonts w:ascii="Times New Roman" w:cs="Times New Roman" w:eastAsia="Times New Roman" w:hAnsi="Times New Roman"/>
                <w:sz w:val="18"/>
                <w:szCs w:val="18"/>
                <w:b w:val="1"/>
                <w:bCs w:val="1"/>
                <w:color w:val="auto"/>
                <w:vertAlign w:val="superscript"/>
              </w:rPr>
              <w:t>(2)</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86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860" w:type="dxa"/>
            <w:vAlign w:val="bottom"/>
          </w:tcPr>
          <w:p>
            <w:pPr>
              <w:spacing w:after="0"/>
              <w:rPr>
                <w:sz w:val="4"/>
                <w:szCs w:val="4"/>
                <w:color w:val="auto"/>
              </w:rPr>
            </w:pPr>
          </w:p>
        </w:tc>
        <w:tc>
          <w:tcPr>
            <w:tcW w:w="12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4"/>
                <w:szCs w:val="4"/>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4"/>
                <w:szCs w:val="4"/>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(60,522)</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61,390,936</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1,149,398</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1,091,205</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 value of</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 forward starting</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swaps included in interest expense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7"/>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(64,655)</w:t>
            </w:r>
          </w:p>
        </w:tc>
        <w:tc>
          <w:tcPr>
            <w:tcW w:w="1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61,390,936</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1,135,577</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1,072,717</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units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of restricted units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 value of</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 forward starting</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swaps included in interest expense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7"/>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(68,776)</w:t>
            </w:r>
          </w:p>
        </w:tc>
        <w:tc>
          <w:tcPr>
            <w:tcW w:w="1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61,404,213</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1,121,790</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1,054,082</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restricted units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 value of</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 forward starting</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swaps included in interest expense</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(72,219)</w:t>
            </w:r>
          </w:p>
        </w:tc>
        <w:tc>
          <w:tcPr>
            <w:tcW w:w="10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61,402,515</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1,110,555</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1,038,584</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23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Limited Partners' Capital </w:t>
            </w:r>
            <w:r>
              <w:rPr>
                <w:rFonts w:ascii="Times New Roman" w:cs="Times New Roman" w:eastAsia="Times New Roman" w:hAnsi="Times New Roman"/>
                <w:sz w:val="18"/>
                <w:szCs w:val="18"/>
                <w:b w:val="1"/>
                <w:bCs w:val="1"/>
                <w:color w:val="auto"/>
                <w:vertAlign w:val="superscript"/>
              </w:rPr>
              <w:t>(1)</w:t>
            </w:r>
          </w:p>
        </w:tc>
        <w:tc>
          <w:tcPr>
            <w:tcW w:w="25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General Partner's Capital </w:t>
            </w:r>
            <w:r>
              <w:rPr>
                <w:rFonts w:ascii="Times New Roman" w:cs="Times New Roman" w:eastAsia="Times New Roman" w:hAnsi="Times New Roman"/>
                <w:sz w:val="18"/>
                <w:szCs w:val="18"/>
                <w:b w:val="1"/>
                <w:bCs w:val="1"/>
                <w:color w:val="auto"/>
                <w:vertAlign w:val="superscript"/>
              </w:rPr>
              <w:t>(2)</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8"/>
        </w:trPr>
        <w:tc>
          <w:tcPr>
            <w:tcW w:w="384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tcPr>
          <w:p>
            <w:pPr>
              <w:jc w:val="center"/>
              <w:ind w:right="220"/>
              <w:spacing w:after="0" w:line="68"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3840" w:type="dxa"/>
            <w:vAlign w:val="bottom"/>
          </w:tcPr>
          <w:p>
            <w:pPr>
              <w:spacing w:after="0"/>
              <w:rPr>
                <w:sz w:val="17"/>
                <w:szCs w:val="17"/>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Total Capital</w:t>
            </w:r>
          </w:p>
        </w:tc>
      </w:tr>
      <w:tr>
        <w:trPr>
          <w:trHeight w:val="24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(53,385)</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61,138,238</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1,171,141</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1,124,321</w:t>
            </w: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54,107</w:t>
            </w: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restricted units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(26,288)</w:t>
            </w: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189"/>
        </w:trPr>
        <w:tc>
          <w:tcPr>
            <w:tcW w:w="3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 value of</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189"/>
        </w:trPr>
        <w:tc>
          <w:tcPr>
            <w:tcW w:w="3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 forward starting</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swaps included in interest expense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(47,518)</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61,134,730</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1,194,763</w:t>
            </w:r>
          </w:p>
        </w:tc>
        <w:tc>
          <w:tcPr>
            <w:tcW w:w="8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1,152,360</w:t>
            </w: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units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(26,294)</w:t>
            </w: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189"/>
        </w:trPr>
        <w:tc>
          <w:tcPr>
            <w:tcW w:w="3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 value of</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189"/>
        </w:trPr>
        <w:tc>
          <w:tcPr>
            <w:tcW w:w="3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 forward starting</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swaps included in interest expense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(51,560)</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61,152,542</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1,181,316</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1,133,845</w:t>
            </w: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(26,294)</w:t>
            </w: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189"/>
        </w:trPr>
        <w:tc>
          <w:tcPr>
            <w:tcW w:w="3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 change in value of</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189"/>
        </w:trPr>
        <w:tc>
          <w:tcPr>
            <w:tcW w:w="3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Reclassification of amortization of forward starting</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swaps included in interest expense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6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61,152,542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1,167,043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1,114,391</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limited partnership interests held by third parties.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general partnership interests held by American Assets Trust, Inc.</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Assets Trust,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67,149</w:t>
            </w:r>
          </w:p>
        </w:tc>
      </w:tr>
      <w:tr>
        <w:trPr>
          <w:trHeight w:val="24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rent revenue and amortization of lease intangibles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r>
      <w:tr>
        <w:trPr>
          <w:trHeight w:val="24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 of debt issuance costs and debt discounts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4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Provision for uncollectible rental income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w:t>
            </w:r>
          </w:p>
        </w:tc>
      </w:tr>
      <w:tr>
        <w:trPr>
          <w:trHeight w:val="24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r>
      <w:tr>
        <w:trPr>
          <w:trHeight w:val="24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noncash interest expense, net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4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accounts receivable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4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other assets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r>
      <w:tr>
        <w:trPr>
          <w:trHeight w:val="24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accounts payable and accrued expenses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4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security deposits payable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other liabilities and deferred credits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7"/>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129,807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(67,879)</w:t>
            </w:r>
          </w:p>
        </w:tc>
      </w:tr>
      <w:tr>
        <w:trPr>
          <w:trHeight w:val="24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(54,687)</w:t>
            </w: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 net of selling costs</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117,784</w:t>
            </w:r>
          </w:p>
        </w:tc>
      </w:tr>
      <w:tr>
        <w:trPr>
          <w:trHeight w:val="24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Leasing commissions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36"/>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unsecured term loan</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4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unsecured notes payable</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(78,876)</w:t>
            </w:r>
          </w:p>
        </w:tc>
      </w:tr>
      <w:tr>
        <w:trPr>
          <w:trHeight w:val="236"/>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(403,876)</w:t>
            </w:r>
          </w:p>
        </w:tc>
      </w:tr>
      <w:tr>
        <w:trPr>
          <w:trHeight w:val="23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(286,945)</w:t>
            </w:r>
          </w:p>
        </w:tc>
      </w:tr>
      <w:tr>
        <w:trPr>
          <w:trHeight w:val="24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425,659</w:t>
            </w:r>
          </w:p>
        </w:tc>
      </w:tr>
      <w:tr>
        <w:trPr>
          <w:trHeight w:val="26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Organization</w:t>
      </w:r>
    </w:p>
    <w:p>
      <w:pPr>
        <w:spacing w:after="0" w:line="94"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American Assets Trust, Inc. (which may be referred to in these financial statements as the “company,” “we,” “us,” or “our”) is a Maryland corporation formed on July 16, 2010 that did not have any operating activity until the consummation of our initial public offering on January 19, 2011. The company is the sole general partner of American Assets Trust, L.P., a Maryland limited partnership formed on July 16, 2010 (the “Operating Partnership”). The company’s operations are carried on through our Operating Partnership and its subsidiaries, including our taxable real estate investment trust (“REIT”) subsidiary (“TRS”). Since the formation of our Operating Partnership, the company has controlled our Operating Partnership as its general partner and has consolidated its assets, liabilities and results of operations.</w:t>
      </w:r>
    </w:p>
    <w:p>
      <w:pPr>
        <w:spacing w:after="0" w:line="13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a full service, vertically integrated, and self-administered REIT with approximately 228 employees providing substantial in-house expertise in asset management, property management, property development, leasing, tenant improvement construction, acquisitions, repositioning, redevelopment and financing.</w:t>
      </w:r>
    </w:p>
    <w:p>
      <w:pPr>
        <w:spacing w:after="0" w:line="122"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2026, we owned or had a controlling interest in 31 office, retail, multifamily and mixed-use operating properties, the operations of which we consolidate. Additionally, as of September 30, 2026, we owned land at two of our properties that we classify as held for development and/or construction in progress. A summary of the properties owned by us is as follows:</w:t>
      </w:r>
    </w:p>
    <w:p>
      <w:pPr>
        <w:spacing w:after="0" w:line="174" w:lineRule="exact"/>
        <w:rPr>
          <w:sz w:val="20"/>
          <w:szCs w:val="20"/>
          <w:color w:val="auto"/>
        </w:rPr>
      </w:pPr>
    </w:p>
    <w:tbl>
      <w:tblPr>
        <w:tblLayout w:type="fixed"/>
        <w:tblInd w:w="480" w:type="dxa"/>
        <w:tblCellMar>
          <w:top w:w="0" w:type="dxa"/>
          <w:left w:w="0" w:type="dxa"/>
          <w:bottom w:w="0" w:type="dxa"/>
          <w:right w:w="0" w:type="dxa"/>
        </w:tblCellMar>
      </w:tblPr>
      <w:tr>
        <w:trPr>
          <w:trHeight w:val="236"/>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w:t>
            </w:r>
          </w:p>
        </w:tc>
        <w:tc>
          <w:tcPr>
            <w:tcW w:w="30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 Jolla Commons</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 &amp; Main</w:t>
            </w:r>
          </w:p>
        </w:tc>
        <w:tc>
          <w:tcPr>
            <w:tcW w:w="3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Timber Springs</w:t>
            </w: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Torrey Point</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Lloyd Portfolio</w:t>
            </w:r>
          </w:p>
        </w:tc>
        <w:tc>
          <w:tcPr>
            <w:tcW w:w="30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Coastal Collection at Torrey Reserve</w:t>
            </w: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Solana Crossing</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City Center Bellevue</w:t>
            </w:r>
          </w:p>
        </w:tc>
        <w:tc>
          <w:tcPr>
            <w:tcW w:w="3060" w:type="dxa"/>
            <w:vAlign w:val="bottom"/>
          </w:tcPr>
          <w:p>
            <w:pPr>
              <w:spacing w:after="0"/>
              <w:rPr>
                <w:sz w:val="21"/>
                <w:szCs w:val="21"/>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The Landmark at One Market</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14Acres</w:t>
            </w:r>
          </w:p>
        </w:tc>
        <w:tc>
          <w:tcPr>
            <w:tcW w:w="3060" w:type="dxa"/>
            <w:vAlign w:val="bottom"/>
          </w:tcPr>
          <w:p>
            <w:pPr>
              <w:spacing w:after="0"/>
              <w:rPr>
                <w:sz w:val="21"/>
                <w:szCs w:val="21"/>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One Beach Street</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Timber Ridge</w:t>
            </w:r>
          </w:p>
        </w:tc>
        <w:tc>
          <w:tcPr>
            <w:tcW w:w="3060" w:type="dxa"/>
            <w:vAlign w:val="bottom"/>
          </w:tcPr>
          <w:p>
            <w:pPr>
              <w:spacing w:after="0"/>
              <w:rPr>
                <w:sz w:val="21"/>
                <w:szCs w:val="2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Retail</w:t>
            </w:r>
          </w:p>
        </w:tc>
        <w:tc>
          <w:tcPr>
            <w:tcW w:w="30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Carmel Country Plaza</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Gateway Marketplace</w:t>
            </w:r>
          </w:p>
        </w:tc>
        <w:tc>
          <w:tcPr>
            <w:tcW w:w="3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Hassalo on Eighth - Retail</w:t>
            </w: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Carmel Mountain Plaza</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Geary Marketplace</w:t>
            </w:r>
          </w:p>
        </w:tc>
        <w:tc>
          <w:tcPr>
            <w:tcW w:w="3060" w:type="dxa"/>
            <w:vAlign w:val="bottom"/>
          </w:tcPr>
          <w:p>
            <w:pPr>
              <w:spacing w:after="0"/>
              <w:rPr>
                <w:sz w:val="21"/>
                <w:szCs w:val="21"/>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South Bay Marketplace</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Shops at Kalakaua</w:t>
            </w:r>
          </w:p>
        </w:tc>
        <w:tc>
          <w:tcPr>
            <w:tcW w:w="3060" w:type="dxa"/>
            <w:vAlign w:val="bottom"/>
          </w:tcPr>
          <w:p>
            <w:pPr>
              <w:spacing w:after="0"/>
              <w:rPr>
                <w:sz w:val="21"/>
                <w:szCs w:val="21"/>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Lomas Santa Fe Plaza</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Waikele Center</w:t>
            </w:r>
          </w:p>
        </w:tc>
        <w:tc>
          <w:tcPr>
            <w:tcW w:w="3060" w:type="dxa"/>
            <w:vAlign w:val="bottom"/>
          </w:tcPr>
          <w:p>
            <w:pPr>
              <w:spacing w:after="0"/>
              <w:rPr>
                <w:sz w:val="21"/>
                <w:szCs w:val="21"/>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Solana Beach Towne Centre</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Alamo Quarry Market</w:t>
            </w:r>
          </w:p>
        </w:tc>
        <w:tc>
          <w:tcPr>
            <w:tcW w:w="3060" w:type="dxa"/>
            <w:vAlign w:val="bottom"/>
          </w:tcPr>
          <w:p>
            <w:pPr>
              <w:spacing w:after="0"/>
              <w:rPr>
                <w:sz w:val="21"/>
                <w:szCs w:val="2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Multifamily</w:t>
            </w:r>
          </w:p>
        </w:tc>
        <w:tc>
          <w:tcPr>
            <w:tcW w:w="30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Loma Palisades</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Hassalo on Eighth - Multifamily</w:t>
            </w:r>
          </w:p>
        </w:tc>
        <w:tc>
          <w:tcPr>
            <w:tcW w:w="3060" w:type="dxa"/>
            <w:vAlign w:val="bottom"/>
          </w:tcPr>
          <w:p>
            <w:pPr>
              <w:spacing w:after="0"/>
              <w:rPr>
                <w:sz w:val="21"/>
                <w:szCs w:val="21"/>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Imperial Beach Gardens</w:t>
            </w: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Genesee Park</w:t>
            </w:r>
          </w:p>
        </w:tc>
        <w:tc>
          <w:tcPr>
            <w:tcW w:w="3060" w:type="dxa"/>
            <w:vAlign w:val="bottom"/>
          </w:tcPr>
          <w:p>
            <w:pPr>
              <w:spacing w:after="0"/>
              <w:rPr>
                <w:sz w:val="21"/>
                <w:szCs w:val="21"/>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Mariner's Point</w:t>
            </w:r>
          </w:p>
        </w:tc>
        <w:tc>
          <w:tcPr>
            <w:tcW w:w="302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Santa Fe Park RV Resort</w:t>
            </w:r>
          </w:p>
        </w:tc>
        <w:tc>
          <w:tcPr>
            <w:tcW w:w="302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Pacific Ridge Apartments</w:t>
            </w:r>
          </w:p>
        </w:tc>
        <w:tc>
          <w:tcPr>
            <w:tcW w:w="3020" w:type="dxa"/>
            <w:vAlign w:val="bottom"/>
          </w:tcPr>
          <w:p>
            <w:pPr>
              <w:spacing w:after="0"/>
              <w:rPr>
                <w:sz w:val="21"/>
                <w:szCs w:val="21"/>
                <w:color w:val="auto"/>
              </w:rPr>
            </w:pPr>
          </w:p>
        </w:tc>
        <w:tc>
          <w:tcPr>
            <w:tcW w:w="3060" w:type="dxa"/>
            <w:vAlign w:val="bottom"/>
          </w:tcPr>
          <w:p>
            <w:pPr>
              <w:spacing w:after="0"/>
              <w:rPr>
                <w:sz w:val="21"/>
                <w:szCs w:val="21"/>
                <w:color w:val="auto"/>
              </w:rPr>
            </w:pPr>
          </w:p>
        </w:tc>
      </w:tr>
    </w:tbl>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Mixed-Use</w:t>
      </w:r>
    </w:p>
    <w:p>
      <w:pPr>
        <w:spacing w:after="0" w:line="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Waikiki Beach Walk Retail and Embassy Suites™ Hotel</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Held for Development and/or Construction in Progress</w:t>
      </w:r>
    </w:p>
    <w:p>
      <w:pPr>
        <w:spacing w:after="0" w:line="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Solana Crossing – Land</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Lloyd Portfolio – Construction in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the company, our Operating Partnership and our subsidiaries. The equity interests of other investors in our Operating Partnership are reflected as noncontrolling interests.</w:t>
      </w:r>
    </w:p>
    <w:p>
      <w:pPr>
        <w:spacing w:after="0" w:line="27"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company follows the Financial Accounting Standards Board (the “FASB”) guidance for determining whether an entity is a variable interest entity (“VIE”), which requires the performance of a qualitative rather than a quantitative analysis to determine the primary beneficiary of a VIE. Under this guidance, an entity would be required to consolidate a VIE if it has (i) the power to direct the activities that most significantly impact the entity’s economic performance and (ii) the obligation to absorb losses of the VIE or the right to receive benefits from the VIE that could be significant to the VIE. American Assets Trust, Inc. has concluded that the Operating Partnership is a VIE, and because American Assets Trust, Inc. has both the power and the rights to control the Operating Partnership, American Assets Trust, Inc. is the primary beneficiary and is required to continue to consolidate the Operating Partnership. Substantially all of the assets and liabilities of the company are related to the Operating Partnership VIE.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transactions and balances are eliminated in consolidation.</w:t>
      </w:r>
    </w:p>
    <w:p>
      <w:pPr>
        <w:spacing w:after="0" w:line="17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and the Operating Partnership have been prepared in accordance with the rules applicable to Form 10-Q and include all information and footnotes required for interim financial statement presentation, but do not include all disclosures required under accounting principles generally accepted in the United States (“GAAP”) for annual financial statements. In the opinion of management, all adjustments (consisting of normal recurring adjustments, except as otherwise noted) considered necessary for a fair presentation have been included. These financial statements should be read in conjunction with the audited consolidated financial statements and notes therein included in the company's and Operating Partnership's annual report on Form 10-K for the year ended December 31, 2025.</w:t>
      </w:r>
    </w:p>
    <w:p>
      <w:pPr>
        <w:spacing w:after="0" w:line="133"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in certain circumstances affect the reported amounts of assets and liabilities, disclosure of contingent assets and liabilities, and revenues and expenses. These estimates are prepared using our best judgment, after considering past, current and expected events and economic conditions. Actual results could differ from these estimates.</w:t>
      </w:r>
    </w:p>
    <w:p>
      <w:pPr>
        <w:spacing w:after="0" w:line="5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Any reference to the number of properties, number of units, square footage, employee numbers or percentages of beneficial ownership of our shares are unaudited.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Cash Flows—Supplemental Disclosures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supplemental disclosures related to the Consolidated Statements of Cash Flows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capitalized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72,664</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 for construction in progress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leasing commissions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56" w:lineRule="exact"/>
        <w:rPr>
          <w:sz w:val="20"/>
          <w:szCs w:val="20"/>
          <w:color w:val="auto"/>
        </w:rPr>
      </w:pPr>
    </w:p>
    <w:p>
      <w:pPr>
        <w:jc w:val="both"/>
        <w:ind w:right="160" w:firstLine="445"/>
        <w:spacing w:after="0" w:line="312" w:lineRule="auto"/>
        <w:rPr>
          <w:sz w:val="20"/>
          <w:szCs w:val="20"/>
          <w:color w:val="auto"/>
        </w:rPr>
      </w:pPr>
      <w:r>
        <w:rPr>
          <w:rFonts w:ascii="Times New Roman" w:cs="Times New Roman" w:eastAsia="Times New Roman" w:hAnsi="Times New Roman"/>
          <w:sz w:val="17"/>
          <w:szCs w:val="17"/>
          <w:color w:val="auto"/>
        </w:rPr>
        <w:t>We describe our significant accounting policies in Note 1 to the consolidated financial statements in Item 8 of our Annual Report on Form 10-K for the year ended December 31, 2025. There have been no changes to our significant accounting policies during the nine months ended September 30,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94"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Segment information is prepared on the same basis that our management reviews information for operational decision-making purposes. We operate in four reportable segments: the acquisition, redevelopment, ownership and management of retail real estate, office real estate, multifamily real estate and mixed-use real estate. The products for our retail segment primarily include rental of retail space and other tenant services, including tenant reimbursements, parking and storage space rental. The products for our office segment primarily include rental of office space and other tenant services, including tenant reimbursements, parking and storage space rental. The products for our multifamily segment include rental of apartments and other tenant services. The products of our mixed-use segment include rental of retail space and other tenant services, including tenant reimbursements, parking and storage space rental and operation of a 369-room all-suite hotel.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Accounts Receivable</w:t>
      </w:r>
    </w:p>
    <w:p>
      <w:pPr>
        <w:spacing w:after="0" w:line="175"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Our leases with tenants are classified as operating leases. Substantially all such leases contain fixed rent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risks.</w:t>
      </w:r>
    </w:p>
    <w:p>
      <w:pPr>
        <w:spacing w:after="0" w:line="12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make estimates of the collectability of our current accounts receivable and straight-line rents receivable which require significant judgment by management. The collectability of receivables is affected by numerous different factors including current economic conditions, the impact of tenant bankruptcies, the status of collectability of current cash rents receivable, tenants' recent and historical financial and operating results, changes in our tenants' credit ratings, communications between our operating personnel and tenants, the extent of security deposits and letters of credit held with respect to tenants, and the ability of tenants to perform under the terms of their lease agreement. The allowance for doubtful accounts at September 30, 2026 and December 31, 2025 was approximately $0.8 million and $1.3 million, respectively.</w:t>
      </w:r>
    </w:p>
    <w:p>
      <w:pPr>
        <w:spacing w:after="0" w:line="133"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Hotel revenue recognized at Waikiki Beach Walk Embassy Suites™ Hotel is in accordance with Accounting Standards Codification (“ASC”) 606, “Revenue from Contracts with Customers,” and is included within rental income on the statement of comprehensive income.</w:t>
      </w:r>
    </w:p>
    <w:p>
      <w:pPr>
        <w:spacing w:after="0" w:line="10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When we enter into a transaction to sell a property or a portion of a property, we evaluate the recognition of the sale under ASC 610-20, “Other Income - Gains and Losses from the Derecognition of Nonfinancial Assets,”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may require us to make assumptions and apply significant judgment.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This pronouncement requires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and should be applied either prospectively or retrospectively, with early adoption permitted. The company is currently evaluating the impact of adopting ASU 2024-03.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ACQUIRED IN-PLACE LEASES AND ABOVE/BELOW MARKET LEASES</w:t>
      </w:r>
    </w:p>
    <w:p>
      <w:pPr>
        <w:spacing w:after="0" w:line="175"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The following summarizes our acquired lease intangibles and leasing costs, which are included in other assets and other liabilities and deferred credits, as of September 30, 2026 and December 31, 2025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In-place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48,489</w:t>
            </w:r>
          </w:p>
        </w:tc>
        <w:tc>
          <w:tcPr>
            <w:tcW w:w="0" w:type="dxa"/>
            <w:vAlign w:val="bottom"/>
          </w:tcPr>
          <w:p>
            <w:pPr>
              <w:spacing w:after="0"/>
              <w:rPr>
                <w:sz w:val="1"/>
                <w:szCs w:val="1"/>
                <w:color w:val="auto"/>
              </w:rPr>
            </w:pPr>
          </w:p>
        </w:tc>
      </w:tr>
      <w:tr>
        <w:trPr>
          <w:trHeight w:val="24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(38,280)</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market leases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6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lease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Below market leases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accretion</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(27,523)</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lease intangible liabilities,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1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 fair value measurement is based on the assumptions that market participants would use in pricing an asset or liability. The hierarchy for inputs used in measuring fair value is as follows:</w:t>
      </w:r>
    </w:p>
    <w:p>
      <w:pPr>
        <w:spacing w:after="0" w:line="189" w:lineRule="exact"/>
        <w:rPr>
          <w:sz w:val="20"/>
          <w:szCs w:val="20"/>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Inputs—observable inputs other than quoted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Inputs—unobservable inputs</w:t>
      </w:r>
    </w:p>
    <w:p>
      <w:pPr>
        <w:spacing w:after="0" w:line="17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accrued liabilities are reasonable estimates of fair value, using Level 1 inputs, because of the short-term nature of these instruments. 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126" w:lineRule="exact"/>
        <w:rPr>
          <w:sz w:val="20"/>
          <w:szCs w:val="20"/>
          <w:color w:val="auto"/>
        </w:rPr>
      </w:pPr>
    </w:p>
    <w:p>
      <w:pPr>
        <w:jc w:val="both"/>
        <w:ind w:right="560" w:firstLine="445"/>
        <w:spacing w:after="0" w:line="266" w:lineRule="auto"/>
        <w:rPr>
          <w:sz w:val="20"/>
          <w:szCs w:val="20"/>
          <w:color w:val="auto"/>
        </w:rPr>
      </w:pPr>
      <w:r>
        <w:rPr>
          <w:rFonts w:ascii="Times New Roman" w:cs="Times New Roman" w:eastAsia="Times New Roman" w:hAnsi="Times New Roman"/>
          <w:sz w:val="18"/>
          <w:szCs w:val="18"/>
          <w:color w:val="auto"/>
        </w:rPr>
        <w:t>We measure the fair value of our deferred compensation liability, which is included in other liabilities and deferred credits on the consolidated balance sheet, on a recurring basis using Level 2 inputs. We measure the fair value of this liability based on prices provided by independent market participants that are based on observable inputs using market-based valuation techniques.</w:t>
      </w:r>
    </w:p>
    <w:p>
      <w:pPr>
        <w:spacing w:after="0" w:line="203" w:lineRule="exact"/>
        <w:rPr>
          <w:sz w:val="20"/>
          <w:szCs w:val="20"/>
          <w:color w:val="auto"/>
        </w:rPr>
      </w:pPr>
    </w:p>
    <w:p>
      <w:pPr>
        <w:ind w:right="540"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swap agreements are based on the estimated amounts we would receive or pay to terminate the contract at the reporting date and are determined using interest rate pricing models and interest rate related observable inputs. The changes in the fair value of the derivatives that are designated as cash flow hedges are being recorded in accumulated other comprehensive income (loss) and will be subsequently reclassified into earnings during the period in which the hedged forecasted transaction affects earnings.</w:t>
      </w:r>
    </w:p>
    <w:p>
      <w:pPr>
        <w:spacing w:after="0" w:line="207" w:lineRule="exact"/>
        <w:rPr>
          <w:sz w:val="20"/>
          <w:szCs w:val="20"/>
          <w:color w:val="auto"/>
        </w:rPr>
      </w:pPr>
    </w:p>
    <w:p>
      <w:pPr>
        <w:ind w:right="560" w:firstLine="405"/>
        <w:spacing w:after="0" w:line="266" w:lineRule="auto"/>
        <w:rPr>
          <w:sz w:val="20"/>
          <w:szCs w:val="20"/>
          <w:color w:val="auto"/>
        </w:rPr>
      </w:pPr>
      <w:r>
        <w:rPr>
          <w:rFonts w:ascii="Times New Roman" w:cs="Times New Roman" w:eastAsia="Times New Roman" w:hAnsi="Times New Roman"/>
          <w:sz w:val="18"/>
          <w:szCs w:val="18"/>
          <w:color w:val="auto"/>
        </w:rPr>
        <w:t>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considered the impact of netting and any applicable credit enhancements, such as collateral postings, thresholds, mutual puts, and guarantees.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itself and its counterparties. However, as of September 30, 2026, we have assessed the significance of the impact of the credit valuation adjustments on the overall valuation of our derivative position and have determined that the credit valuation adjustments are not significant to the overall valuation of our derivative. As a result, we have determined that our derivative valuation in its entirety is classified in Level 2 of the fair value hierarchy.</w:t>
      </w:r>
    </w:p>
    <w:p>
      <w:pPr>
        <w:spacing w:after="0" w:line="210" w:lineRule="exact"/>
        <w:rPr>
          <w:sz w:val="20"/>
          <w:szCs w:val="20"/>
          <w:color w:val="auto"/>
        </w:rPr>
      </w:pPr>
    </w:p>
    <w:p>
      <w:pPr>
        <w:ind w:right="360" w:firstLine="405"/>
        <w:spacing w:after="0" w:line="278" w:lineRule="auto"/>
        <w:rPr>
          <w:sz w:val="20"/>
          <w:szCs w:val="20"/>
          <w:color w:val="auto"/>
        </w:rPr>
      </w:pPr>
      <w:r>
        <w:rPr>
          <w:rFonts w:ascii="Times New Roman" w:cs="Times New Roman" w:eastAsia="Times New Roman" w:hAnsi="Times New Roman"/>
          <w:sz w:val="18"/>
          <w:szCs w:val="18"/>
          <w:color w:val="auto"/>
        </w:rPr>
        <w:t>A summary of our financial liabilities that are measured at fair value on a recurring basis, by level within the fair value hierarchy is as follows (in thousands):</w:t>
      </w: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3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30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76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78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asset</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76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78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r>
    </w:tbl>
    <w:p>
      <w:pPr>
        <w:spacing w:after="0" w:line="238" w:lineRule="exact"/>
        <w:rPr>
          <w:sz w:val="20"/>
          <w:szCs w:val="20"/>
          <w:color w:val="auto"/>
        </w:rPr>
      </w:pPr>
    </w:p>
    <w:p>
      <w:pPr>
        <w:ind w:firstLine="481"/>
        <w:spacing w:after="0" w:line="266" w:lineRule="auto"/>
        <w:rPr>
          <w:sz w:val="20"/>
          <w:szCs w:val="20"/>
          <w:color w:val="auto"/>
        </w:rPr>
      </w:pPr>
      <w:r>
        <w:rPr>
          <w:rFonts w:ascii="Times New Roman" w:cs="Times New Roman" w:eastAsia="Times New Roman" w:hAnsi="Times New Roman"/>
          <w:sz w:val="18"/>
          <w:szCs w:val="18"/>
          <w:color w:val="auto"/>
        </w:rPr>
        <w:t>The fair value of our secured notes payable and unsecured senior guaranteed notes are sensitive to fluctuations in interest rates. Discounted cash flow analysis using observable market interest rates (Level 2) is generally used to estimate the fair value of our secured notes payable, using rates ranging from 6.4% to 8.3%.</w:t>
      </w:r>
    </w:p>
    <w:p>
      <w:pPr>
        <w:spacing w:after="0" w:line="12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Considerable judgment is necessary to estimate the fair value of financial instruments. The estimates of fair value presented herein are not necessarily indicative of the amounts that could be realized upon disposition of the financial instruments. The carrying value of our term loan set forth below is deemed to be at fair value since the outstanding debt is directly tied to the monthly Secured Overnight Financing Rate (“SOFR”). The fair values of our senior notes are generally estimated based on quoted market prices for these instruments. A summary of the carrying amount and fair value of our financial instruments, all of which are based on Level 2 inputs,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280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 payable,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74,728</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term loan,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guaranteed notes,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499,626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483,339</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1,014,769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989,549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AND HEDGING ACTIVITIES</w:t>
      </w:r>
    </w:p>
    <w:p>
      <w:pPr>
        <w:spacing w:after="0" w:line="256"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Our objectives in using interest rate derivatives are to add stability to interest expense and to manage our exposure to interest rate movements. To accomplish these objectives, we primarily use interest rate swaps as part of our interest rate risk management strategy. Interest rate swaps designated as cash flow hedges involve the receipt of variable-rate amounts from a counterparty in exchange for us making fixed-rate payments over the life of the agreements without exchange of the underlying notional amount.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terms of our outstanding interest rate swaps as of September 30, 2026 (dollars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Swap Counterparty</w:t>
            </w:r>
          </w:p>
        </w:tc>
        <w:tc>
          <w:tcPr>
            <w:tcW w:w="2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20" w:type="dxa"/>
            <w:vAlign w:val="bottom"/>
          </w:tcPr>
          <w:p>
            <w:pPr>
              <w:spacing w:after="0"/>
              <w:rPr>
                <w:sz w:val="16"/>
                <w:szCs w:val="16"/>
                <w:color w:val="auto"/>
              </w:rPr>
            </w:pPr>
          </w:p>
        </w:tc>
        <w:tc>
          <w:tcPr>
            <w:tcW w:w="14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of America, N.A.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1/14/2022</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1/5/2027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Wells Fargo Bank, N.A.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1/14/2022</w:t>
            </w:r>
          </w:p>
        </w:tc>
        <w:tc>
          <w:tcPr>
            <w:tcW w:w="1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1/5/2027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bl>
    <w:p>
      <w:pPr>
        <w:spacing w:after="0" w:line="25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effective portion of changes in the fair value of the derivatives that are designated as cash flow hedges are being recorded in accumulated other comprehensive income and will be subsequently reclassified into earnings during the period in which the hedged forecasted transaction affects earnings for as long as hedged cash flows remain probable. During the next twelve months, we estimate the cash flow hedges in place will reduce interest expense by approximately $0.4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valuation of these instruments is determined using widely accepted valuation techniques including discounted cash flow analysis on the expected cash flows of the derivative. This analysis reflects the contractual terms of the derivative, including the period to maturity, and counterparty credit risk and uses observable market-based inputs, including interest rate curves, and implied volatilities. The fair value of the interest rate swap is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OTHER ASSETS, NET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commissions, net of accumulated amortization of $58,918 and $56,094, respectively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36,223</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asset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above market leases, net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in-place leases, net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incentives, net of accumulated amortization of $1,326 and $1,239, respectively</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$2,574 and $2,361, respectively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on line of credit, net of accumulated amortization of $3,223 and $2,591, respectively</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lease asset, net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80,497</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OTHER LIABILITIES AND DEFERRED CREDITS</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7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liabilities and deferred credits consist of the following (in thousands):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9"/>
                <w:szCs w:val="19"/>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below market leases,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rent and deferred revenue</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liability</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liabilities and deferred credits,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Straight-line rent liability relates to leases which have rental payments that decrease over time or one-time upfront payments for which the rental revenue is deferred and recognized on a straight-line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Debt of American Assets Trust, Inc.</w:t>
      </w:r>
    </w:p>
    <w:p>
      <w:pPr>
        <w:spacing w:after="0" w:line="175"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American Assets Trust, Inc. does not hold any indebtedness. All debt is held directly or indirectly by the Operating Partnership; however, American Assets Trust, Inc. has guaranteed the Operating Partnership's obligations under the (i) 3.375% and 6.150% senior notes, (ii) senior guaranteed notes, and (iii) fourth amended and restated credit facility, each discussed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Debt of American Assets Trust, L.P.</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Secured notes payable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is a summary of our total secured notes payable outstanding as of September 30, 2026 and December 31, 2025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Principal Balance as of</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
        </w:trPr>
        <w:tc>
          <w:tcPr>
            <w:tcW w:w="4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35"/>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20" w:type="dxa"/>
            <w:vAlign w:val="bottom"/>
          </w:tcPr>
          <w:p>
            <w:pPr>
              <w:spacing w:after="0"/>
              <w:rPr>
                <w:sz w:val="24"/>
                <w:szCs w:val="24"/>
                <w:color w:val="auto"/>
              </w:rPr>
            </w:pPr>
          </w:p>
        </w:tc>
        <w:tc>
          <w:tcPr>
            <w:tcW w:w="1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r>
      <w:tr>
        <w:trPr>
          <w:trHeight w:val="23"/>
        </w:trPr>
        <w:tc>
          <w:tcPr>
            <w:tcW w:w="4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6"/>
        </w:trPr>
        <w:tc>
          <w:tcPr>
            <w:tcW w:w="406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City Center Bellevue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October 1, 2027</w:t>
            </w:r>
          </w:p>
        </w:tc>
      </w:tr>
      <w:tr>
        <w:trPr>
          <w:trHeight w:val="237"/>
        </w:trPr>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98"/>
        </w:trPr>
        <w:tc>
          <w:tcPr>
            <w:tcW w:w="4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Debt issuance costs, net of accumulated amortization</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$791 and $723, respectively</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Secured Notes Payable Outstanding</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74,917</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74,849</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1"/>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Interest only.</w:t>
      </w:r>
    </w:p>
    <w:p>
      <w:pPr>
        <w:spacing w:after="0" w:line="181"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The Operating Partnership has provided a carve-out guarantee on the mortgage at City Center Bellevue. Certain loans require the Operating Partnership to comply with various financial covenants. As of September 30, 2026, the Operating Partnership was in compliance with these financial covenants.</w:t>
      </w: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Unsecured notes payable</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is a summary of the Operating Partnership's total unsecured notes payable outstanding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Balance as of</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20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00" w:type="dxa"/>
            <w:vAlign w:val="bottom"/>
          </w:tcPr>
          <w:p>
            <w:pPr>
              <w:spacing w:after="0"/>
              <w:rPr>
                <w:sz w:val="24"/>
                <w:szCs w:val="24"/>
                <w:color w:val="auto"/>
              </w:rPr>
            </w:pPr>
          </w:p>
        </w:tc>
        <w:tc>
          <w:tcPr>
            <w:tcW w:w="21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 xml:space="preserve">Variable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Guaranteed Notes, Series D</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160" w:type="dxa"/>
            <w:vAlign w:val="bottom"/>
            <w:gridSpan w:val="2"/>
          </w:tcPr>
          <w:p>
            <w:pPr>
              <w:jc w:val="right"/>
              <w:ind w:right="302"/>
              <w:spacing w:after="0" w:line="243" w:lineRule="exact"/>
              <w:rPr>
                <w:sz w:val="20"/>
                <w:szCs w:val="20"/>
                <w:color w:val="auto"/>
              </w:rPr>
            </w:pPr>
            <w:r>
              <w:rPr>
                <w:rFonts w:ascii="Times New Roman" w:cs="Times New Roman" w:eastAsia="Times New Roman" w:hAnsi="Times New Roman"/>
                <w:sz w:val="18"/>
                <w:szCs w:val="18"/>
                <w:color w:val="auto"/>
              </w:rPr>
              <w:t xml:space="preserve">4.29 %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21"/>
                <w:szCs w:val="21"/>
                <w:color w:val="auto"/>
              </w:rPr>
            </w:pPr>
          </w:p>
        </w:tc>
        <w:tc>
          <w:tcPr>
            <w:tcW w:w="21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March 1, 2027</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Guaranteed Notes, Series E</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160" w:type="dxa"/>
            <w:vAlign w:val="bottom"/>
            <w:gridSpan w:val="2"/>
            <w:shd w:val="clear" w:color="auto" w:fill="CCEEFF"/>
          </w:tcPr>
          <w:p>
            <w:pPr>
              <w:jc w:val="right"/>
              <w:ind w:right="302"/>
              <w:spacing w:after="0" w:line="243" w:lineRule="exact"/>
              <w:rPr>
                <w:sz w:val="20"/>
                <w:szCs w:val="20"/>
                <w:color w:val="auto"/>
              </w:rPr>
            </w:pPr>
            <w:r>
              <w:rPr>
                <w:rFonts w:ascii="Times New Roman" w:cs="Times New Roman" w:eastAsia="Times New Roman" w:hAnsi="Times New Roman"/>
                <w:sz w:val="18"/>
                <w:szCs w:val="18"/>
                <w:color w:val="auto"/>
              </w:rPr>
              <w:t xml:space="preserve">4.24 %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May 23, 2029</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Guaranteed Notes, Series G</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160" w:type="dxa"/>
            <w:vAlign w:val="bottom"/>
            <w:gridSpan w:val="2"/>
          </w:tcPr>
          <w:p>
            <w:pPr>
              <w:jc w:val="right"/>
              <w:ind w:right="302"/>
              <w:spacing w:after="0" w:line="243" w:lineRule="exact"/>
              <w:rPr>
                <w:sz w:val="20"/>
                <w:szCs w:val="20"/>
                <w:color w:val="auto"/>
              </w:rPr>
            </w:pPr>
            <w:r>
              <w:rPr>
                <w:rFonts w:ascii="Times New Roman" w:cs="Times New Roman" w:eastAsia="Times New Roman" w:hAnsi="Times New Roman"/>
                <w:sz w:val="18"/>
                <w:szCs w:val="18"/>
                <w:color w:val="auto"/>
              </w:rPr>
              <w:t xml:space="preserve">3.91 % </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21"/>
                <w:szCs w:val="21"/>
                <w:color w:val="auto"/>
              </w:rPr>
            </w:pPr>
          </w:p>
        </w:tc>
        <w:tc>
          <w:tcPr>
            <w:tcW w:w="21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July 30, 2030</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160" w:type="dxa"/>
            <w:vAlign w:val="bottom"/>
            <w:gridSpan w:val="2"/>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February 1, 2031</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6.150% Senior Notes</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2160" w:type="dxa"/>
            <w:vAlign w:val="bottom"/>
            <w:tcBorders>
              <w:bottom w:val="single" w:sz="8" w:color="CCEEFF"/>
            </w:tcBorders>
            <w:gridSpan w:val="2"/>
          </w:tcPr>
          <w:p>
            <w:pPr>
              <w:jc w:val="right"/>
              <w:ind w:right="302"/>
              <w:spacing w:after="0" w:line="243" w:lineRule="exact"/>
              <w:rPr>
                <w:sz w:val="20"/>
                <w:szCs w:val="20"/>
                <w:color w:val="auto"/>
              </w:rPr>
            </w:pPr>
            <w:r>
              <w:rPr>
                <w:rFonts w:ascii="Times New Roman" w:cs="Times New Roman" w:eastAsia="Times New Roman" w:hAnsi="Times New Roman"/>
                <w:sz w:val="18"/>
                <w:szCs w:val="18"/>
                <w:color w:val="auto"/>
              </w:rPr>
              <w:t xml:space="preserve">6.15 % </w:t>
            </w:r>
            <w:r>
              <w:rPr>
                <w:rFonts w:ascii="Times New Roman" w:cs="Times New Roman" w:eastAsia="Times New Roman" w:hAnsi="Times New Roman"/>
                <w:sz w:val="23"/>
                <w:szCs w:val="23"/>
                <w:color w:val="auto"/>
                <w:vertAlign w:val="superscript"/>
              </w:rPr>
              <w:t>(5)</w:t>
            </w:r>
          </w:p>
        </w:tc>
        <w:tc>
          <w:tcPr>
            <w:tcW w:w="100" w:type="dxa"/>
            <w:vAlign w:val="bottom"/>
            <w:tcBorders>
              <w:bottom w:val="single" w:sz="8" w:color="CCEEFF"/>
            </w:tcBorders>
          </w:tcPr>
          <w:p>
            <w:pPr>
              <w:spacing w:after="0"/>
              <w:rPr>
                <w:sz w:val="21"/>
                <w:szCs w:val="21"/>
                <w:color w:val="auto"/>
              </w:rPr>
            </w:pPr>
          </w:p>
        </w:tc>
        <w:tc>
          <w:tcPr>
            <w:tcW w:w="2140" w:type="dxa"/>
            <w:vAlign w:val="bottom"/>
            <w:tcBorders>
              <w:bottom w:val="single" w:sz="8" w:color="CCEEFF"/>
            </w:tcBorders>
          </w:tcPr>
          <w:p>
            <w:pPr>
              <w:jc w:val="right"/>
              <w:ind w:right="273"/>
              <w:spacing w:after="0"/>
              <w:rPr>
                <w:sz w:val="20"/>
                <w:szCs w:val="20"/>
                <w:color w:val="auto"/>
              </w:rPr>
            </w:pPr>
            <w:r>
              <w:rPr>
                <w:rFonts w:ascii="Times New Roman" w:cs="Times New Roman" w:eastAsia="Times New Roman" w:hAnsi="Times New Roman"/>
                <w:sz w:val="18"/>
                <w:szCs w:val="18"/>
                <w:color w:val="auto"/>
              </w:rPr>
              <w:t>October 1, 2034</w:t>
            </w: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Debt discount and issuance costs, net of</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accumulated amortization of $10,366 and</w:t>
            </w: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$8,720, respectively</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Unsecured Notes Payable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1,613,618</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1,612,761</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left="340" w:right="180" w:hanging="292"/>
        <w:spacing w:after="0" w:line="267"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 entered into two interest rate swap agreements that are intended to fix the interest rate associated with Term Loan A at approximately 2.65% through January 5, 2027, subject to adjustments based on our consolidated leverage ratio. After January 5, 2027, interest will be accrued at a variable rate based on the applicable SOFR, plus a spread which ranges from 1.20%-1.70% based on our consolidated leverage ratio.</w:t>
      </w:r>
    </w:p>
    <w:p>
      <w:pPr>
        <w:spacing w:after="0" w:line="1" w:lineRule="exact"/>
        <w:rPr>
          <w:rFonts w:ascii="Times New Roman" w:cs="Times New Roman" w:eastAsia="Times New Roman" w:hAnsi="Times New Roman"/>
          <w:sz w:val="14"/>
          <w:szCs w:val="14"/>
          <w:color w:val="auto"/>
        </w:rPr>
      </w:pPr>
    </w:p>
    <w:p>
      <w:pPr>
        <w:ind w:left="340" w:right="20" w:hanging="292"/>
        <w:spacing w:after="0" w:line="269"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 entered into forward-starting interest rate swap contracts on March 29, 2016 and April 7, 2016, which were settled on January 18, 2017 at a gain of approximately $10.4 million. The forward-starting interest swap rate contracts were deemed to be highly effective cash flow hedges, accordingly, the effective interest rate is approximately 3.87% per annum.</w:t>
      </w:r>
    </w:p>
    <w:p>
      <w:pPr>
        <w:spacing w:after="0" w:line="152" w:lineRule="exact"/>
        <w:rPr>
          <w:rFonts w:ascii="Times New Roman" w:cs="Times New Roman" w:eastAsia="Times New Roman" w:hAnsi="Times New Roman"/>
          <w:sz w:val="14"/>
          <w:szCs w:val="14"/>
          <w:color w:val="auto"/>
        </w:rPr>
      </w:pPr>
    </w:p>
    <w:p>
      <w:pPr>
        <w:ind w:left="340" w:right="260" w:hanging="292"/>
        <w:spacing w:after="0" w:line="261"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 entered into a treasury lock contract on April 25, 2017, which was settled on May 11, 2017 at a gain of approximately $0.7 million. The treasury lock contract was deemed to be a highly effective cash flow hedge, accordingly, the effective interest rate is approximately 4.18% per annum.</w:t>
      </w:r>
    </w:p>
    <w:p>
      <w:pPr>
        <w:ind w:left="340" w:right="60" w:hanging="292"/>
        <w:spacing w:after="0" w:line="254"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 entered into a treasury lock contract on June 20, 2019, which was settled on July 17, 2019 at a gain of approximately $0.5 million. The treasury lock contract was deemed to be a highly effective cash flow hedge, accordingly, the effective interest rate is approximately 3.88% per annum.</w:t>
      </w:r>
    </w:p>
    <w:p>
      <w:pPr>
        <w:ind w:left="340" w:right="180" w:hanging="292"/>
        <w:spacing w:after="0" w:line="270"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 entered into treasury lock contracts on September 9, 2024 for $150 million and September 10, 2024 for an additional $150 million, which were both settled on September 10, 2024 at a combined loss of approximately $1.3 million. The treasury lock contracts were deemed to be highly effective cash flow hedges, accordingly, the effective interest rate is approximately 6.21% per annum.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6"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On January 26, 2021, the Operating Partnership issued $500 million of senior unsecured notes (the “3.375% Senior Notes”) that mature February 1, 2031 and bear interest at 3.375% per annum. The 3.375% Senior Notes were priced at 98.935% of the principal amount with a yield to maturity of 3.502%. The net proceeds of the 3.375% Senior Notes, after the issuance discount, underwriting fees, and other costs were approximately $489.7 million, which were primarily used (i) to prepay our $150 million Senior Guaranteed Notes, Series A, with a make-whole payment thereon of approximately $3.9 million, on January 26, 2021, (ii) to repay our $100 million then outstanding balance under our then-existing revolver loan on January 26, 2021, (iii) to fund the development of the La Jolla Commons III office building and (iv) for general corporate purposes.</w:t>
      </w:r>
    </w:p>
    <w:p>
      <w:pPr>
        <w:spacing w:after="0" w:line="21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On September 17, 2024, the Operating Partnership issued $525 million of senior unsecured notes (the “6.150% Senior Notes”) that mature October 1, 2034, and bear interest at 6.150% per annum. The 6.150% Senior Notes were priced at 99.671% of the principal amount with a yield to maturity of 6.194%. The net proceeds of the 6.150% Senior Notes, after the issuance discount, underwriting fees, and other costs, were approximately $518.2 million. To date, the net proceeds were used to repay (i) the $100 million then outstanding balance under our Revolver Loan on September 19, 2024, (ii) our Series B Notes in the amount of $100 million on December 2, 2024, and (iii) our Series C Notes in the amount of $100 million on February 3, 2025. The remaining net proceeds are intended to be used for working capital and general corporate purposes.</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3.375% Senior Notes and the 6.150% Senior Notes include a number of customary financial covenants, including:</w:t>
      </w:r>
    </w:p>
    <w:p>
      <w:pPr>
        <w:spacing w:after="0" w:line="104"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aggregate debt ratio of 60%,</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debt service ratio of 1.5x,</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secured debt ratio of 40%,</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maintenance of total unencumbered assets of 150%.</w:t>
      </w:r>
    </w:p>
    <w:p>
      <w:pPr>
        <w:spacing w:after="0" w:line="90"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2026, the Operating Partnership was in compliance with all then in-place 3.375% Senior Notes and 6.150% Senior Notes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Guaranteed Notes</w:t>
      </w:r>
    </w:p>
    <w:p>
      <w:pPr>
        <w:spacing w:after="0" w:line="256"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On March 1, 2017, the Operating Partnership entered into a Note Purchase Agreement (the “Series D Note Purchase Agreement”) for the private placement of $250 million of 4.29% Senior Guaranteed Notes, Series D, due March 1, 2027 (the “Series D Notes”). The Series D Notes were issued on March 1, 2017 and pay interest quarterly on the last day of January, April, July and October until their respective maturities.</w:t>
      </w:r>
    </w:p>
    <w:p>
      <w:pPr>
        <w:spacing w:after="0" w:line="14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May 23, 2017, the Operating Partnership entered into a Note Purchase Agreement (the “Series E Note Purchase Agreement”) for the private placement of $100 million of 4.24% Senior Guaranteed Notes, Series E, due May 23, 2029 (the “Series E Notes”). The Series E Notes were issued on May 23, 2017 and pay interest semi-annually on the 23rd of May and November until their respective maturities.</w:t>
      </w:r>
    </w:p>
    <w:p>
      <w:pPr>
        <w:spacing w:after="0" w:line="13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On July 30, 2019, the Operating Partnership entered into a Note Purchase Agreement (collectively with the Series D Note Purchase Agreement and Series E Note Purchase Agreement, the “Note Purchase Agreements”) for the private placement of $150 million of 3.91% Senior Guaranteed Notes, Series G, due July 30, 2030 (the “Series G Notes” and collectively with the Series D Notes and Series E Notes are referred to herein as, the “Notes”.) The Series G Notes were issued on July 30, 2019 and pay interest semi-annually on the 30th of July and January until their maturity.</w:t>
      </w:r>
    </w:p>
    <w:p>
      <w:pPr>
        <w:spacing w:after="0" w:line="126"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Operating Partnership may prepay at any time all, or from time to time any part of, the Notes, in an amount not less than 5% of the aggregate principal amount of any series of the Notes then outstanding in the case of a partial prepayment, at 100% of the principal amount so prepaid plus a make-whole amount.</w:t>
      </w:r>
    </w:p>
    <w:p>
      <w:pPr>
        <w:spacing w:after="0" w:line="122"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Note Purchase Agreements contain a number of customary financial covenants, including, without limitation, tangible net worth thresholds, secured and unsecured leverage ratios and fixed charge coverage ratios. As of September 30, 2026, the Operating Partnership was in compliance with all covenants under the Note Purchase Agreements.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Subject to the terms of the Note Purchase Agreements and the Notes, upon certain events of default, including, but not limited to, (i) a default in the payment of any principal, make-whole amount or interest under the Notes, and (ii) a default in the payment of certain other indebtedness by us or our subsidiaries, the principal, accrued and unpaid interest, and the make-whole amount on the outstanding Notes will become due and payable at the option of the purchasers.</w:t>
      </w:r>
    </w:p>
    <w:p>
      <w:pPr>
        <w:spacing w:after="0" w:line="126"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Operating Partnership's obligations under the Notes are fully and unconditionally guaranteed by the company and certain of the Operating Partnership's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April 1, 2026, the Operating Partnership entered into the fourth amended and restated credit facility (the “Fourth Amended and Restated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which amended and restated our then-existing credit facility. The Fourth Amended and Restated Credit Facility provides for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borrowings of up to $600 million, consisting of a revolving line of credit of $500 million (the “2026 Revolver Loan”) and a term loan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(the “2026 Term Loan A”). The 2026 Revolver Loan initially matures on April 1, 2030, subject to two, six-month extension options.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Term Loan A initially matures on April 1, 2030, subject to one, twelve-month extension option. As of September 30, 2026, the entirety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2026 Term Loan A was outstanding, there were no amounts outstanding under the 2026 Revolver Loan, and the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had incurred approximately $3.5 million of net debt issuance costs which are recorded in other assets, net on the consolidated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 the weighted average interest rate on the 2026 Revolver Loan was 4.78%.</w:t>
      </w:r>
    </w:p>
    <w:p>
      <w:pPr>
        <w:spacing w:after="0" w:line="153" w:lineRule="exact"/>
        <w:rPr>
          <w:sz w:val="20"/>
          <w:szCs w:val="20"/>
          <w:color w:val="auto"/>
        </w:rPr>
      </w:pPr>
    </w:p>
    <w:p>
      <w:pPr>
        <w:ind w:right="120" w:firstLine="405"/>
        <w:spacing w:after="0" w:line="272" w:lineRule="auto"/>
        <w:rPr>
          <w:sz w:val="20"/>
          <w:szCs w:val="20"/>
          <w:color w:val="auto"/>
        </w:rPr>
      </w:pPr>
      <w:r>
        <w:rPr>
          <w:rFonts w:ascii="Times New Roman" w:cs="Times New Roman" w:eastAsia="Times New Roman" w:hAnsi="Times New Roman"/>
          <w:sz w:val="17"/>
          <w:szCs w:val="17"/>
          <w:color w:val="auto"/>
        </w:rPr>
        <w:t>Borrowings under the Fourth Amended and Restated Credit Agreement bear interest at floating rates equal to, at the Operating Partnership’s option, either (1) the applicable SOFR, plus a spread which ranges from (a) 1.05% to 1.50% (with respect to the 2026 Revolver Loan) and (b) 1.20% to 1.70% (with respect to the 2026 Term Loan A), in each case based on our consolidated leverage ratio, or (2) a base rate equal to the highest of (a) the prime rate,</w:t>
      </w:r>
    </w:p>
    <w:p>
      <w:pPr>
        <w:spacing w:after="0" w:line="2" w:lineRule="exact"/>
        <w:rPr>
          <w:sz w:val="20"/>
          <w:szCs w:val="20"/>
          <w:color w:val="auto"/>
        </w:rPr>
      </w:pPr>
    </w:p>
    <w:p>
      <w:pPr>
        <w:ind w:right="80" w:firstLine="8"/>
        <w:spacing w:after="0" w:line="255"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plus 50 bps, (c) the Term SOFR Screen Rate with a term of one month plus 100 bps and (d) 1.00%, plus a spread which ranges from (i) 0.05% to 0.50% (with respect to the 2026 Revolver Loan) and (ii) 0.20% to 0.70% (with respect to the 2026 Term Loan A), in each case based on our consolidated leverage ratio.</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Fourth Amended and Restated Credit Facility includes a number of customary financial covenants, including:</w:t>
      </w:r>
    </w:p>
    <w:p>
      <w:pPr>
        <w:spacing w:after="0" w:line="104"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leverage ratio (defined as total indebtedness net of certain cash and cash equivalents to total asset value) of 60%,</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secured leverage ratio (defined as total secured debt to secured total asset value) of 40%,</w:t>
      </w:r>
    </w:p>
    <w:p>
      <w:pPr>
        <w:spacing w:after="0" w:line="103"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fixed charge coverage ratio (defined as consolidated earnings before interest, taxes, depreciation and amortization to consolidated fixed charges) of 1.50x,</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unsecured interest coverage ratio of 1.75x,</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unsecured leverage ratio of 60%,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Recourse indebtedness at any time cannot exceed 15% of total asset value.</w:t>
      </w:r>
    </w:p>
    <w:p>
      <w:pPr>
        <w:spacing w:after="0" w:line="34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The Fourth Amended and Restated Credit Facility contains certain restrictions on distributions. If certain events of default exist or would result from a distribution, our ability to make cash distributions may be limited to amounts necessary to maintain our qualification as a REIT and avoid the payment of federal and state income and excise taxes. Following an acceleration of the obligations under the credit facility following an event of default 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of certain bankruptcy or insolvency events of default, we may be prohibited from making cash distributions</w:t>
      </w:r>
      <w:r>
        <w:rPr>
          <w:rFonts w:ascii="Arial" w:cs="Arial" w:eastAsia="Arial" w:hAnsi="Arial"/>
          <w:sz w:val="21"/>
          <w:szCs w:val="21"/>
          <w:color w:val="auto"/>
        </w:rPr>
        <w: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2026, the Operating Partnership was in compliance with all in-place Fourth Amended and Restated Credit Facility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PARTNERS' CAPITAL OF AMERICAN ASSETS TRUST, L.P.</w:t>
      </w:r>
    </w:p>
    <w:p>
      <w:pPr>
        <w:spacing w:after="0" w:line="17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Noncontrolling interests in our Operating Partnership are interests in the Operating Partnership that are not owned by us. Noncontrolling interests consisted of 16,181,537 common units (the “noncontrolling common units”), and represented approximately 21.04% of the ownership interests in our Operating Partnership at September 30, 2026. Common units and shares of our common stock have essentially the same economic characteristics in that common units and shares of our common stock share equally in the total net income or loss distributions of our Operating Partnership. Investors who own common units have the right to cause our Operating Partnership to redeem any or all of their common units for cash equal to the then-current market value of one share of our common stock, or, at our election, shares of our common stock on a one-for-one basis.</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September 30, 2026, no common units were converted into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Unit of the Operating Partnership</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Basic earnings per unit (“EPU”) of the Operating Partnership is computed by dividing income applicable to unitholders by the weighted average Operating Partnership units outstanding, as adjusted for the effect of participating securities. Operating Partnership units granted in equity-based payment transactions that have non-forfeitable dividend equivalent rights are considered participating securities prior to vesting. The impact of unvested Operating Partnership unit awards on EPU has been calculated using the two-class method whereby earnings are allocated to the unvested Operating Partnership unit awards based on distributions and the unvested Operating Partnership units’ participation rights in undistributed earnings.</w:t>
      </w:r>
    </w:p>
    <w:p>
      <w:pPr>
        <w:spacing w:after="0" w:line="1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calculation of diluted EPU for the three months ended September 30, 2026 and 2025 does not include the weighted average of 687,928 and 606,062 unvested outstanding Operating Partnership units, respectively, and for the nine months ended September 30, 2026 and 2025 does not include the weighted average of 691,113 and 602,093 unvested outstanding Operating Partnership units, respectively, as these equity securities are either considered contingently issuable, or for which applicable performance conditions had not been achieved, or the effect of including these equity securities was anti-dilutive to income from continuing operations and net income attributable to the unitholders.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EQUITY OF AMERICAN ASSETS TRUST,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On December 3, 2021, we entered into an at-the-market (“ATM”) equity program with five sales agents pursuant to which we may, from time to time, offer and sell shares of our common stock having an aggregate offering price of up to $250 million. The sales of shares of our common stock made through the ATM equity program, as amended, are made in “at-the-market” offerings as defined in Rule 415 of the Securities Act of 1933, as amended. For the nine months ended September 30, 2026, no shares of common stock were sold through the ATM equity program.</w:t>
      </w:r>
    </w:p>
    <w:p>
      <w:pPr>
        <w:spacing w:after="0" w:line="126"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color w:val="auto"/>
        </w:rPr>
        <w:t>We intend to use the net proceeds from the ATM equity program to fund our development or redevelopment activities, repay amounts outstanding from time to time under our revolving line of credit or other debt financing obligations, fund potential acquisition opportunities and/or for general corporate purposes. As of September 30, 2026, we had the capacity to issue up to $250 million in shares of our common stock under our current ATM equity program. Actual future sales will depend on a variety of factors including, but not limited to, market conditions, the trading price of our common stock and our capital needs. As of September 30, 2026, we have no obligation to sell the remaining shares available for sale under the ATM equity program.</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08" w:lineRule="exact"/>
        <w:rPr>
          <w:sz w:val="20"/>
          <w:szCs w:val="20"/>
          <w:color w:val="auto"/>
        </w:rPr>
      </w:pPr>
    </w:p>
    <w:p>
      <w:pPr>
        <w:ind w:right="260" w:firstLine="405"/>
        <w:spacing w:after="0" w:line="278" w:lineRule="auto"/>
        <w:rPr>
          <w:sz w:val="20"/>
          <w:szCs w:val="20"/>
          <w:color w:val="auto"/>
        </w:rPr>
      </w:pPr>
      <w:r>
        <w:rPr>
          <w:rFonts w:ascii="Times New Roman" w:cs="Times New Roman" w:eastAsia="Times New Roman" w:hAnsi="Times New Roman"/>
          <w:sz w:val="18"/>
          <w:szCs w:val="18"/>
          <w:color w:val="auto"/>
        </w:rPr>
        <w:t>The following table lists the dividends declared and paid on our shares of common stock and noncontrolling common units during the nine months ended September 30, 2026:</w:t>
      </w:r>
    </w:p>
    <w:tbl>
      <w:tblPr>
        <w:tblLayout w:type="fixed"/>
        <w:tblInd w:w="0" w:type="dxa"/>
        <w:tblCellMar>
          <w:top w:w="0" w:type="dxa"/>
          <w:left w:w="0" w:type="dxa"/>
          <w:bottom w:w="0" w:type="dxa"/>
          <w:right w:w="0" w:type="dxa"/>
        </w:tblCellMar>
      </w:tblPr>
      <w:tr>
        <w:trPr>
          <w:trHeight w:val="14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4"/>
                <w:szCs w:val="14"/>
                <w:b w:val="1"/>
                <w:bCs w:val="1"/>
                <w:color w:val="auto"/>
              </w:rPr>
              <w:t>Amount per</w:t>
            </w:r>
          </w:p>
        </w:tc>
        <w:tc>
          <w:tcPr>
            <w:tcW w:w="370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Period Covered</w:t>
            </w:r>
          </w:p>
        </w:tc>
        <w:tc>
          <w:tcPr>
            <w:tcW w:w="120" w:type="dxa"/>
            <w:vAlign w:val="bottom"/>
            <w:vMerge w:val="restart"/>
          </w:tcPr>
          <w:p>
            <w:pPr>
              <w:spacing w:after="0"/>
              <w:rPr>
                <w:sz w:val="12"/>
                <w:szCs w:val="12"/>
                <w:color w:val="auto"/>
              </w:rPr>
            </w:pPr>
          </w:p>
        </w:tc>
        <w:tc>
          <w:tcPr>
            <w:tcW w:w="21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Dividend Paid Date</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Share/Unit</w:t>
            </w:r>
          </w:p>
        </w:tc>
        <w:tc>
          <w:tcPr>
            <w:tcW w:w="100" w:type="dxa"/>
            <w:vAlign w:val="bottom"/>
            <w:tcBorders>
              <w:bottom w:val="single" w:sz="8" w:color="CCEEFF"/>
            </w:tcBorders>
          </w:tcPr>
          <w:p>
            <w:pPr>
              <w:spacing w:after="0"/>
              <w:rPr>
                <w:sz w:val="17"/>
                <w:szCs w:val="17"/>
                <w:color w:val="auto"/>
              </w:rPr>
            </w:pPr>
          </w:p>
        </w:tc>
        <w:tc>
          <w:tcPr>
            <w:tcW w:w="3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to March 31, 2026</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19, 2026</w:t>
            </w: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 2026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2026 to June 30, 2026</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18, 2026</w:t>
            </w:r>
          </w:p>
        </w:tc>
        <w:tc>
          <w:tcPr>
            <w:tcW w:w="0" w:type="dxa"/>
            <w:vAlign w:val="bottom"/>
          </w:tcPr>
          <w:p>
            <w:pPr>
              <w:spacing w:after="0"/>
              <w:rPr>
                <w:sz w:val="1"/>
                <w:szCs w:val="1"/>
                <w:color w:val="auto"/>
              </w:rPr>
            </w:pPr>
          </w:p>
        </w:tc>
      </w:tr>
      <w:tr>
        <w:trPr>
          <w:trHeight w:val="24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to September 30, 2026</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17, 2026</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Taxability of Dividends</w:t>
      </w:r>
    </w:p>
    <w:p>
      <w:pPr>
        <w:spacing w:after="0" w:line="108"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Earnings and profits, which determine the taxability of distributions to stockholders and holders of common units, may differ from income reported for financial reporting purposes due to the differences for federal income tax purposes in the treatment of revenue recognition and compensation expense and in the basis of depreciable assets and estimated useful lives used to compute depreciation.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We follow the FASB guidance related to stock-based compensation which establishes financial accounting and reporting standards for stock-based employee compensation plans, including all arrangements by which employees receive shares of stock or other equity instruments of the employer. The guidance also defines a fair value-based method of accounting for an employee stock award or similar equity instrument.</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of restricted stock awards during the nine months ended September 30, 2026:</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1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693,257</w:t>
            </w:r>
          </w:p>
        </w:tc>
        <w:tc>
          <w:tcPr>
            <w:tcW w:w="6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4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4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57"/>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687,024</w:t>
            </w:r>
          </w:p>
        </w:tc>
        <w:tc>
          <w:tcPr>
            <w:tcW w:w="6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We recognize noncash compensation expense ratably over the vesting period, and accordingly, we recognized $1.7 million and $1.8 million for the three months ended September 30, 2026 and 2025, respectively, and $5.0 million and $5.2 million for the nine months ended September 30, 2026 and 2025, respectively, which is included in general and administrative expenses on the consolidated statements of comprehensive income. Unrecognized compensation expense was $4.8 million at September 30, 2026.</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08"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We have calculated earnings per share (“EPS”) under the two-class method. The two-class method is an earnings allocation methodology whereby EPS for each class of common stock and participating security is calculated according to dividends declared and participation rights in undistributed earnings. The weighted average unvested shares outstanding, which are considered participating securities, were 687,928 and 606,062 for the three months ended September 30, 2026 and 2025, respectively, and 691,113 and 602,093 for the nine months ended September 30, 2026 and 2025, respectively. Therefore, we have allocated our earnings for basic and diluted EPS between common shares and unvested shares as these unvested shares have nonforfeitable dividend equivalent rights.</w:t>
      </w:r>
    </w:p>
    <w:p>
      <w:pPr>
        <w:spacing w:after="0" w:line="133"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Diluted EPS is calculated by dividing the net income applicable to common stockholders for the period by the weighted average number of common and dilutive instruments outstanding during the period using the treasury stock method. Diluted EPS also reflects the assumed exchange of Operating Partnership units held by noncontrolling interests for shares of common stock, with net income attributable to those unitholders added back to the numerator. For the three and nine months ended September 30, 2026 and 2025, diluted shares exclude incentive restricted stock awards that are considered contingently issuable and were either anti-dilutive or for which applicable performance conditions had not been achieved. Additionally, the unvested restricted stock awards subject to time vesting are anti-dilutive for all periods presented, and accordingly, have been excluded from the weighted average common shares used to compute diluted EPS.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basic and diluted EPS is presented below (dollars in thousands, except share and per share amounts):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67,149</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restricted shares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189"/>
        </w:trPr>
        <w:tc>
          <w:tcPr>
            <w:tcW w:w="52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Less: Net income attributable to unitholders in the Operating</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Partnership</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0" w:type="dxa"/>
            <w:vAlign w:val="bottom"/>
          </w:tcPr>
          <w:p>
            <w:pPr>
              <w:spacing w:after="0"/>
              <w:rPr>
                <w:sz w:val="1"/>
                <w:szCs w:val="1"/>
                <w:color w:val="auto"/>
              </w:rPr>
            </w:pPr>
          </w:p>
        </w:tc>
      </w:tr>
      <w:tr>
        <w:trPr>
          <w:trHeight w:val="262"/>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income attributable to American Assets Trust, Inc. common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2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stockholders—basic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Plus: Net income attributable to unitholders in the Operating</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Partnership</w:t>
            </w: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0" w:type="dxa"/>
            <w:vAlign w:val="bottom"/>
          </w:tcPr>
          <w:p>
            <w:pPr>
              <w:spacing w:after="0"/>
              <w:rPr>
                <w:sz w:val="1"/>
                <w:szCs w:val="1"/>
                <w:color w:val="auto"/>
              </w:rPr>
            </w:pPr>
          </w:p>
        </w:tc>
      </w:tr>
      <w:tr>
        <w:trPr>
          <w:trHeight w:val="236"/>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66,533</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60,715,491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60,546,480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60,705,574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60,541,335</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Effect of dilutive securities—conversion of Operating Partnership</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units</w:t>
            </w: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16,181,537</w:t>
            </w:r>
          </w:p>
        </w:tc>
        <w:tc>
          <w:tcPr>
            <w:tcW w:w="0" w:type="dxa"/>
            <w:vAlign w:val="bottom"/>
          </w:tcPr>
          <w:p>
            <w:pPr>
              <w:spacing w:after="0"/>
              <w:rPr>
                <w:sz w:val="1"/>
                <w:szCs w:val="1"/>
                <w:color w:val="auto"/>
              </w:rPr>
            </w:pPr>
          </w:p>
        </w:tc>
      </w:tr>
      <w:tr>
        <w:trPr>
          <w:trHeight w:val="237"/>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76,897,028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76,728,017</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76,887,111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76,722,872</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We elected to be taxed as a REIT and operate in a manner that allows us to qualify as a REIT for federal income tax purposes commencing with our initial taxable year. As a REIT, we are generally not subject to corporate level income tax on the earnings distributed currently to our stockholders that we derive from our REIT qualifying activities. Taxable income from non-REIT activities managed through our TRS is subject to federal and state income taxes.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 xml:space="preserve">We lease our hotel property to a wholly owned TRS that is subject to federal and state income taxes. We account for income taxes using the asset and liability method, under which deferred tax assets and liabilities are recognized for the future tax consequences attributable to differences between GAAP carrying amounts and their respective tax bases. Additionally, we classify certain state taxes as income taxes for financial reporting purposes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A deferred tax asset is included in our consolidated balance sheets of $1.0 million and $1.0 million, and a deferred tax liability is included in our consolidated balance sheets of $0.6 million and $0.6 million as of September 30, 2026 and December 31, 2025, respectively, in relation to real estate asset basis differences and prepaid expenses for our TRS.</w:t>
      </w:r>
    </w:p>
    <w:p>
      <w:pPr>
        <w:spacing w:after="0" w:line="122"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Income tax expense is recorded in other income, net on our consolidated statements of comprehensive income. For the three and nine months ended September 30, 2026, we recorded income tax expense of $0.2 million and $0.4 million, respectively. For the three and nine months ended September 30, 2025, we recorded income tax expense of $0.2 million and $0.7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w:t>
      </w:r>
    </w:p>
    <w:p>
      <w:pPr>
        <w:spacing w:after="0" w:line="108" w:lineRule="exact"/>
        <w:rPr>
          <w:sz w:val="20"/>
          <w:szCs w:val="20"/>
          <w:color w:val="auto"/>
        </w:rPr>
      </w:pPr>
    </w:p>
    <w:p>
      <w:pPr>
        <w:jc w:val="both"/>
        <w:ind w:right="280" w:firstLine="445"/>
        <w:spacing w:after="0" w:line="312" w:lineRule="auto"/>
        <w:rPr>
          <w:sz w:val="20"/>
          <w:szCs w:val="20"/>
          <w:color w:val="auto"/>
        </w:rPr>
      </w:pPr>
      <w:r>
        <w:rPr>
          <w:rFonts w:ascii="Times New Roman" w:cs="Times New Roman" w:eastAsia="Times New Roman" w:hAnsi="Times New Roman"/>
          <w:sz w:val="17"/>
          <w:szCs w:val="17"/>
          <w:color w:val="auto"/>
        </w:rPr>
        <w:t>We are sometimes involved in various disputes, lawsuits, warranty claims, environmental considerations, and other matters arising in the ordinary course of business. Management makes assumptions and estimates concerning the likelihood and amount of any potential loss relating to these matters.</w:t>
      </w:r>
    </w:p>
    <w:p>
      <w:pPr>
        <w:spacing w:after="0" w:line="86"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amount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as owner of the properties due to certain matters relating to the operation of the properties by the tenant.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12, Leases for description of our leases, as a lessee.</w:t>
      </w:r>
    </w:p>
    <w:p>
      <w:pPr>
        <w:spacing w:after="0" w:line="17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have management agreements with Outrigger Hotels &amp; Resorts or an affiliate thereof (“Outrigger”) pursuant to which Outrigger manages each of the retail and hotel portions of the Waikiki Beach Walk property. Under the management agreement with Outrigger relating to the retail portion of Waikiki Beach Walk (the “retail management agreement”), we pay Outrigger a monthly management fee of 3.0% of net revenues from the retail portion of Waikiki Beach Walk. Pursuant to the terms of the retail management agreement, if the agreement is terminated in certain instances, including our election not to repair damage or destruction at the property, a condemnation or our failure to make required working capital infusions, we would be obligated to pay Outrigger a termination fee equal to the sum of the management fees paid for the two months immediately preceding the termination date. The retail management agreement may not be terminated by us or by Outrigger without cause. Under our management agreement with Outrigger relating to the hotel portion of Waikiki Beach Walk (the “hotel management agreement”), we pay Outrigger a monthly management fee of 6.0% of the hotel's gross operating profit, as well as 3.0% of the hotel's gross revenues; provided that the aggregate management fee payable to Outrigger for any year shall not exceed 3.5% of the hotel's gross revenues for such fiscal year. The hotel management agreement may not be terminated by us or by Outrigger without cause. Additionally, we have a management agreement with Outrigger pursuant to which Outrigger manages our Waikele Center and Shops at Kalakaua. In connection with such management agreement, we pay Outrigger a fixed management fee of $12,000 per month in the aggregate plus additional amounts for any lease renewal services provided by Outrigger at our request. This management agreement can be terminated by us at any time and for any reason on 30 days' notice without any cancellation or termination fees.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right="100" w:firstLine="405"/>
        <w:spacing w:after="0" w:line="245" w:lineRule="auto"/>
        <w:rPr>
          <w:sz w:val="20"/>
          <w:szCs w:val="20"/>
          <w:color w:val="auto"/>
        </w:rPr>
      </w:pPr>
      <w:r>
        <w:rPr>
          <w:rFonts w:ascii="Times New Roman" w:cs="Times New Roman" w:eastAsia="Times New Roman" w:hAnsi="Times New Roman"/>
          <w:sz w:val="18"/>
          <w:szCs w:val="18"/>
          <w:color w:val="auto"/>
        </w:rPr>
        <w:t>A wholly owned subsidiary of our Operating Partnership, WBW Hotel Lessee LLC, entered into a franchise license agreement with Embassy Suites Franchise LLC, the franchisor of the brand “Embassy Suites™,” to obtain the non-exclusive right to operate the hotel under the Embassy Suites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for 20 years. The franchise license agreement provides that WBW Hotel Lessee LLC must comply with certain management, operational, record keeping, accounting, reporting and marketing standards and procedures. In connection with this agreement, we are also subject to the terms of a product improvement plan pursuant to which we expect to undertake certain actions to ensure that our hotel's infrastructure is maintained in compliance with the franchisor's brand standards. In addition, we must pay to Embassy Suites Franchise LLC a monthly franchise royalty fee equal to 5.0% of the hotel's gross room revenue, as well as a monthly program fee equal to 4.0% of the hotel's gross room revenue. If the franchise license is terminated due to our failure to make required improvements or to otherwise comply with its terms, we may be liable to the franchisor for a termination payment, which could be as high as $7.8 million based on operating performance through September 30, 2026.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4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properties are located in Southern California, Northern California, Washington, Oregon, Texas and Hawaii. The ability of the tenants to honor the terms of their respective leases is dependent upon the economic, regulatory, social, and health factors affecting the markets in which the tenants operate. Sixteen of our consolidated properties are located in Southern California, which exposes us to greater economic risks than if we owned a more geographically diverse portfolio. Tenants in the office industry accounted for 47.4% of total revenues for the nine months ended September 30, 2026. This makes us susceptible to demand for office rental space and subject to the risks associated with an investment in real estate with a concentration of tenants in the office industry. Furthermore, tenants in the retail industry accounted for 20.9% of total revenues for the nine months ended September 30, 2026. This makes us susceptible to demand for retail rental space and subject to the risks associated with an investment in real estate with a concentration of tenants in the retail industry. For the nine months ended September 30, 2026 and 2025, no tenant accounted for more than 10% of our total rental revenue.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Operating Leases</w:t>
      </w:r>
    </w:p>
    <w:p>
      <w:pPr>
        <w:spacing w:after="0" w:line="256"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Our lease agreements are generally for real estate, and the determination of whether such agreements contain leases generally does not require significant estimates or judgments. We lease real estate under operating leases.</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Our leases with office, retail, mixed-use and residential tenants are classified as operating leases. Leases at our office and retail properties and the retail portion of our mixed-use property generally range from three years to ten years (certain leases with anchor tenants may be longer), and in addition to minimum rents, usually provide for cost recoveries for the tenant’s share of certain operating costs. Our leases may also include variable lease payments in the form of percentage rents based on the tenant’s level of sales achieved in excess of a breakpoint threshold. Leases on apartments generally range from seven months to fifteen months, with a majority having 12-month lease terms. Rooms at the hotel portion of our mixed-use property are rented on a nightly basis.</w:t>
      </w:r>
    </w:p>
    <w:p>
      <w:pPr>
        <w:spacing w:after="0" w:line="133"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Leases at our office and retail properties and the retail portion of our mixed-use property may contain lease extension options, at our lessee's discretion. The extension options are generally for three years to ten years and contain primarily rent at fixed rates or the prevailing market rent. The extension options are generally exercisable six months to twelve months prior to the expiration of the lease and require the lessee to not be in default of the lease terms.</w:t>
      </w:r>
    </w:p>
    <w:p>
      <w:pPr>
        <w:spacing w:after="0" w:line="126"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We attempt to maximize the amount we expect to derive from the underlying real estate property following the end of a lease, to the extent it is not extended. We maintain a proactive leasing and capital improvement program that, combined with the quality and locations of our properties, has made our properties attractive to tenants. However, the residual value of a real estate property is still subject to various market-specific, asset-specific, and tenant-specific risks and characteristics.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2026, minimum future rentals from noncancelable operating leases, before any reserve for uncollectible amounts and assuming no early lease terminations, at our office and retail properties and the retail portion of our mixed-use property are as follows for the years ended December 31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(three months ending December 31, 2026)</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57,841</w:t>
            </w:r>
          </w:p>
        </w:tc>
      </w:tr>
      <w:tr>
        <w:trPr>
          <w:trHeight w:val="24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263,462</w:t>
            </w:r>
          </w:p>
        </w:tc>
      </w:tr>
      <w:tr>
        <w:trPr>
          <w:trHeight w:val="24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235,251</w:t>
            </w:r>
          </w:p>
        </w:tc>
      </w:tr>
      <w:tr>
        <w:trPr>
          <w:trHeight w:val="24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178,775</w:t>
            </w:r>
          </w:p>
        </w:tc>
      </w:tr>
      <w:tr>
        <w:trPr>
          <w:trHeight w:val="24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116,711</w:t>
            </w:r>
          </w:p>
        </w:tc>
      </w:tr>
      <w:tr>
        <w:trPr>
          <w:trHeight w:val="243"/>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312,769</w:t>
            </w:r>
          </w:p>
        </w:tc>
      </w:tr>
      <w:tr>
        <w:trPr>
          <w:trHeight w:val="262"/>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1,164,809</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above future minimum rentals exclude residential leases, which typically range from seven months to fifteen months, and exclude the hotel, as rooms are rented on a nightly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Operating Leases</w:t>
      </w:r>
    </w:p>
    <w:p>
      <w:pPr>
        <w:spacing w:after="0" w:line="175"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Our lease agreements are generally for real estate, and the determination of whether such agreements contain leases generally does not require significant estimates or judgments. We lease real estate under operating leases.</w:t>
      </w:r>
    </w:p>
    <w:p>
      <w:pPr>
        <w:spacing w:after="0" w:line="108"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At The Landmark at One Market, we lease, as lessee, a building adjacent to The Landmark at One Market under an operating lease effective through June 30, 2031 (the “Annex Lease”), with no further extension options.</w:t>
      </w:r>
    </w:p>
    <w:p>
      <w:pPr>
        <w:spacing w:after="0" w:line="108"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Our lease agreements do not contain any residual value guarantees or material restrictive covenants. As our leases do not provide an implicit rate, we use our incremental borrowing rate based on the information available at commencement in determining the present value of lease payments.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2026, current annual payments under the operating leases are as follows for the years ended December 31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(three months ending December 31, 2026)</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4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r>
      <w:tr>
        <w:trPr>
          <w:trHeight w:val="24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r>
      <w:tr>
        <w:trPr>
          <w:trHeight w:val="24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r>
      <w:tr>
        <w:trPr>
          <w:trHeight w:val="24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43"/>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3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7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w:t>
            </w:r>
          </w:p>
        </w:tc>
      </w:tr>
      <w:tr>
        <w:trPr>
          <w:trHeight w:val="243"/>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7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62"/>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Lease costs under the operating leases are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30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8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3820" w:type="dxa"/>
            <w:vAlign w:val="bottom"/>
          </w:tcPr>
          <w:p>
            <w:pPr>
              <w:spacing w:after="0"/>
              <w:rPr>
                <w:sz w:val="16"/>
                <w:szCs w:val="16"/>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8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908</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4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(796)</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61"/>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 (income)</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50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217"/>
        </w:trPr>
        <w:tc>
          <w:tcPr>
            <w:tcW w:w="38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4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our operating leases are as follow (in thousands):</w:t>
      </w:r>
    </w:p>
    <w:p>
      <w:pPr>
        <w:spacing w:after="0" w:line="5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33655</wp:posOffset>
            </wp:positionV>
            <wp:extent cx="22974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49" w:lineRule="exact"/>
        <w:rPr>
          <w:sz w:val="20"/>
          <w:szCs w:val="20"/>
          <w:color w:val="auto"/>
        </w:rPr>
      </w:pPr>
    </w:p>
    <w:p>
      <w:pPr>
        <w:ind w:left="836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 information:</w:t>
      </w:r>
    </w:p>
    <w:p>
      <w:pPr>
        <w:spacing w:after="0" w:line="36" w:lineRule="exact"/>
        <w:rPr>
          <w:sz w:val="20"/>
          <w:szCs w:val="20"/>
          <w:color w:val="auto"/>
        </w:rPr>
      </w:pPr>
    </w:p>
    <w:p>
      <w:pPr>
        <w:ind w:left="20"/>
        <w:spacing w:after="0"/>
        <w:tabs>
          <w:tab w:leader="none" w:pos="7620" w:val="left"/>
          <w:tab w:leader="none" w:pos="8880" w:val="left"/>
          <w:tab w:leader="none" w:pos="9460" w:val="left"/>
          <w:tab w:leader="none" w:pos="10740" w:val="left"/>
        </w:tabs>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2,688</w:t>
        <w:tab/>
        <w:t>$</w:t>
      </w:r>
      <w:r>
        <w:rPr>
          <w:sz w:val="20"/>
          <w:szCs w:val="20"/>
          <w:color w:val="auto"/>
        </w:rPr>
        <w:tab/>
      </w:r>
      <w:r>
        <w:rPr>
          <w:rFonts w:ascii="Times New Roman" w:cs="Times New Roman" w:eastAsia="Times New Roman" w:hAnsi="Times New Roman"/>
          <w:sz w:val="17"/>
          <w:szCs w:val="17"/>
          <w:color w:val="auto"/>
        </w:rPr>
        <w:t>2,636</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Subleases</w:t>
      </w:r>
    </w:p>
    <w:p>
      <w:pPr>
        <w:spacing w:after="0" w:line="9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At The Landmark at One Market, we (as sublandlord) sublease the Annex Lease building under operating leases effective through June 30, 2031. The subleases contain extension options, subject to our ability to extend the Annex Lease, that can extend the subleases through December 31, 2039 at the fair rental value at the time the extension option is exercised.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COMPONENTS OF RENTAL INCOME AND EXPENSE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components of rental income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rental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146,065</w:t>
            </w: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69,197</w:t>
            </w:r>
          </w:p>
        </w:tc>
      </w:tr>
      <w:tr>
        <w:trPr>
          <w:trHeight w:val="24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48,417</w:t>
            </w: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Mixed-use</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rent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revenue</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30,266</w:t>
            </w:r>
          </w:p>
        </w:tc>
      </w:tr>
      <w:tr>
        <w:trPr>
          <w:trHeight w:val="24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62"/>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rental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306,243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Minimum rents include $0.8 million and $0.9 million for the three months ended September 30, 2026 and 2025, respectively, and $1.2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million for the nine months ended September 30, 2026 and 2025, respectively, to recognize lease rental income on a straight-line basis. In addition,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above and below market leases included in lease rental income was $0.4 million and $0.5 million for the three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 respectively, and $1.3 million and $1.7 million for the nine months ended September 30, 2026 and 2025, respectively.</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principal components of rental expenses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operating</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15,754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43,027</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operating</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22,301</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Repairs and maintenance</w:t>
            </w:r>
          </w:p>
        </w:tc>
        <w:tc>
          <w:tcPr>
            <w:tcW w:w="8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8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Hawaii excise tax</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8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3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rental expenses</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33,605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97,094</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91,746</w:t>
            </w:r>
          </w:p>
        </w:tc>
      </w:tr>
      <w:tr>
        <w:trPr>
          <w:trHeight w:val="21"/>
        </w:trPr>
        <w:tc>
          <w:tcPr>
            <w:tcW w:w="5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INCOME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components of other income, net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r>
      <w:tr>
        <w:trPr>
          <w:trHeight w:val="24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6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94"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At Torrey Point, the company leases space to American Assets, Inc. (“AAI”), an entity owned and controlled by Mr. Rady, our Executive Chairman, with an initial lease term of ten years at an average annual rental rate of $0.2 million. Rental revenue recognized on the lease of $0.2 million and $0.2 million for the nine months ended September 30, 2026 and 2025, respectively, is included in rental income on the consolidated statements of comprehensive income.</w:t>
      </w:r>
    </w:p>
    <w:p>
      <w:pPr>
        <w:spacing w:after="0" w:line="45"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On occasion, the company utilizes aircraft services provided by AAI Aviation, Inc. (“AAIA”), an entity owned and controlled by Mr. Rady. For the nine months ended September 30, 2026 and 2025, we incurred approximately $0.1 million and $0.1 million of expenses, respectively, related to aircraft services of AAIA or reimbursement to Mr. Rady (or his trust) for use of the aircraft owned by AAIA. These expenses are recorded as general and administrative expenses in our consolidated statements of comprehensive income.</w:t>
      </w:r>
    </w:p>
    <w:p>
      <w:pPr>
        <w:spacing w:after="0" w:line="180"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Waikiki Beach Walk entities have a 47.7% investment in WBW CHP LLC, an entity that was formed to, among other things, construct a chilled water plant to provide air conditioning to the property and other adjacent facilities. The operating expenses of WBW CHP LLC are recovered through reimbursements from its members, and reimbursements to WBW CHP LLC of $0.9 million and $0.9 million for the nine months ended September 30, 2026 and 2025, respectively, are included in rental expenses on the consolidated statements of comprehensive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94"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chief operating decision maker (“CODM”) for the company was comprised of our President and Chief Executive Officer and our Chief Financial Officer.</w:t>
      </w:r>
    </w:p>
    <w:p>
      <w:pPr>
        <w:spacing w:after="0" w:line="27"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Segment information is prepared on the same basis that our management reviews information for operational decision-making purposes. We review operating and financial information for each property on an individual basis and therefore, each property represents an individual operating segment. However, we have aggregated our properties into reportable segments as the properties share similar long-term economic characteristics and have other similarities including the fact that they are operated using consistent business strategies.</w:t>
      </w:r>
    </w:p>
    <w:p>
      <w:pPr>
        <w:spacing w:after="0" w:line="45"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We operate in four reportable business segments: the acquisition, redevelopment, ownership and management of retail real estate, office real estate, multifamily real estate and mixed-use real estate. The products for our retail segment primarily include rental of retail space and other tenant services, including tenant reimbursements, parking and storage space rental. The products for our office segment primarily include rental of office space and other tenant services, including tenant reimbursements, parking and storage space rental. The products for our multifamily segment include rental of apartments and other tenant services. The products of our mixed-use segment include rental of retail space and other tenant services, including tenant reimbursements, parking and storage space rental and operation of a 369-room all-suite hotel.</w:t>
      </w:r>
    </w:p>
    <w:p>
      <w:pPr>
        <w:spacing w:after="0" w:line="133"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Regular reportable segment updates are provided directly to the CODM. These updates include the performance of our segments based on segment profit which is defined as property revenue less property expenses, and this serves as the profit or loss measure used by the CODM for performance assessment and resource allocation. We consider segment profit to be an appropriate supplemental measure to net income because it assists both investors and the CODM in understanding the core operations of our properties. Segment profit provides a performance measure that, when compared year over year, reflects the revenues and expenses directly associated with owning and operating commercial real estate and the impact to operations from trends in occupancy rates, rental rates, and operating costs, providing a perspective on operations not immediately apparent from net income.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Segment profit is not a measure of operating income or cash flows from operating activities as measured by GAAP, and it is not indicative of cash available to fund cash needs and should not be considered an alternative to cash flows as a measure of liquidity. Not all companies calculate segment profit in the same manner. General and administrative expenses, interest expense, depreciation and amortization expense and other income and expense are not included in segment profit as our internal reporting addresses these items on a corporate level.</w:t>
      </w:r>
    </w:p>
    <w:p>
      <w:pPr>
        <w:spacing w:after="0" w:line="4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 significant segment expense is a category of expenses and amounts regularly provided to the CODM that is included in the calculation of each reported measure of segment profit or loss. Further, the CODM will use this measure to assess segment performance in deciding how to allocate resources. Significant expenses included in the reportable segment profit or loss measure are presented by rental expenses and real estate taxes for each reportable segment. Rental expenses includes facilities service expense, utilities expense, repairs and maintenance expense, insurance expense and other costs.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represents the significant segment expenses and operating activity within our reportable segments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 Office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revenue</w:t>
            </w:r>
          </w:p>
        </w:tc>
        <w:tc>
          <w:tcPr>
            <w:tcW w:w="86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55,288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153,992</w:t>
            </w: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33,091</w:t>
            </w: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w:t>
            </w: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expense</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17,783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50,069</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48,506</w:t>
            </w:r>
          </w:p>
        </w:tc>
      </w:tr>
      <w:tr>
        <w:trPr>
          <w:trHeight w:val="237"/>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37,505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108,301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105,486</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 Retail</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revenue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70,787</w:t>
            </w: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8,899</w:t>
            </w:r>
          </w:p>
        </w:tc>
      </w:tr>
      <w:tr>
        <w:trPr>
          <w:trHeight w:val="23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expense</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w:t>
            </w:r>
          </w:p>
        </w:tc>
      </w:tr>
      <w:tr>
        <w:trPr>
          <w:trHeight w:val="23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18,172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50,924</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 Multifamily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revenue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17,909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51,663</w:t>
            </w: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w:t>
            </w: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w:t>
            </w: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expense</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w:t>
            </w:r>
          </w:p>
        </w:tc>
      </w:tr>
      <w:tr>
        <w:trPr>
          <w:trHeight w:val="237"/>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28,208</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 Mixed-Use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revenue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49,676</w:t>
            </w: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29,950</w:t>
            </w: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r>
      <w:tr>
        <w:trPr>
          <w:trHeight w:val="23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expense</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12,311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33,101</w:t>
            </w:r>
          </w:p>
        </w:tc>
      </w:tr>
      <w:tr>
        <w:trPr>
          <w:trHeight w:val="237"/>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16,575</w:t>
            </w:r>
          </w:p>
        </w:tc>
      </w:tr>
      <w:tr>
        <w:trPr>
          <w:trHeight w:val="261"/>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segments’ profit</w:t>
            </w:r>
          </w:p>
        </w:tc>
        <w:tc>
          <w:tcPr>
            <w:tcW w:w="86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71,134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201,193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933"/>
        </w:trPr>
        <w:tc>
          <w:tcPr>
            <w:tcW w:w="5240" w:type="dxa"/>
            <w:vAlign w:val="bottom"/>
          </w:tcPr>
          <w:p>
            <w:pPr>
              <w:spacing w:after="0"/>
              <w:rPr>
                <w:sz w:val="24"/>
                <w:szCs w:val="24"/>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American Assets Trust, Inc. and American Assets Trust, L.P.</w:t>
      </w:r>
    </w:p>
    <w:p>
      <w:pPr>
        <w:spacing w:after="0" w:line="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is a reconciliation of segment profit to net income attributable to stockholders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segments’ profit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201,193</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(58,337)</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67,149</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restricted shares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unitholders in the Operating Partnership</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Net income attributable to American Assets Trust, Inc.</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20" w:type="dxa"/>
            <w:vAlign w:val="bottom"/>
          </w:tcPr>
          <w:p>
            <w:pPr>
              <w:spacing w:after="0"/>
              <w:rPr>
                <w:sz w:val="14"/>
                <w:szCs w:val="14"/>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0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80" w:type="dxa"/>
            <w:vAlign w:val="bottom"/>
          </w:tcPr>
          <w:p>
            <w:pPr>
              <w:spacing w:after="0"/>
              <w:rPr>
                <w:sz w:val="14"/>
                <w:szCs w:val="14"/>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r>
        <w:trPr>
          <w:trHeight w:val="22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net real estate and secured note payable balances for each of the reportable segments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Real Estate</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1,592,419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1,587,316</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458,470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469,733</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406,163</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156,156</w:t>
            </w:r>
          </w:p>
        </w:tc>
      </w:tr>
      <w:tr>
        <w:trPr>
          <w:trHeight w:val="236"/>
        </w:trPr>
        <w:tc>
          <w:tcPr>
            <w:tcW w:w="74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2,603,752</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2,619,368</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0"/>
        </w:trPr>
        <w:tc>
          <w:tcPr>
            <w:tcW w:w="74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Secured Notes Payable </w:t>
            </w:r>
            <w:r>
              <w:rPr>
                <w:rFonts w:ascii="Times New Roman" w:cs="Times New Roman" w:eastAsia="Times New Roman" w:hAnsi="Times New Roman"/>
                <w:sz w:val="23"/>
                <w:szCs w:val="23"/>
                <w:b w:val="1"/>
                <w:bCs w:val="1"/>
                <w:color w:val="auto"/>
                <w:vertAlign w:val="superscript"/>
              </w:rPr>
              <w:t>(1)</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4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62"/>
        </w:trPr>
        <w:tc>
          <w:tcPr>
            <w:tcW w:w="7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unamortized debt issuance costs of $0.1 million and $0.2 million for each of the periods ended September 30, 2026 and December 31, 2025, respectively.</w:t>
      </w:r>
    </w:p>
    <w:p>
      <w:pPr>
        <w:spacing w:after="0" w:line="3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Capital expenditures for each segment for the three and nine months ended September 30, 2026 and 2025 were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Capital Expenditures </w:t>
            </w:r>
            <w:r>
              <w:rPr>
                <w:rFonts w:ascii="Times New Roman" w:cs="Times New Roman" w:eastAsia="Times New Roman" w:hAnsi="Times New Roman"/>
                <w:sz w:val="23"/>
                <w:szCs w:val="23"/>
                <w:b w:val="1"/>
                <w:bCs w:val="1"/>
                <w:color w:val="auto"/>
                <w:vertAlign w:val="superscript"/>
              </w:rPr>
              <w:t>(1)</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30,824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47,354</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8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8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36"/>
        </w:trPr>
        <w:tc>
          <w:tcPr>
            <w:tcW w:w="5240" w:type="dxa"/>
            <w:vAlign w:val="bottom"/>
          </w:tcPr>
          <w:p>
            <w:pPr>
              <w:spacing w:after="0"/>
              <w:rPr>
                <w:sz w:val="20"/>
                <w:szCs w:val="20"/>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36,029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85,705</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59,519</w:t>
            </w:r>
          </w:p>
        </w:tc>
      </w:tr>
      <w:tr>
        <w:trPr>
          <w:trHeight w:val="20"/>
        </w:trPr>
        <w:tc>
          <w:tcPr>
            <w:tcW w:w="5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represent cash paid for capital expenditures during the period and include leasing commissions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We make statements in this report that are forward-looking statements within the meaning of the Private Securities Litigation Reform Act of 1995 (set forth in Section 27A of the Securities Act of 1933, as amended, or the Securities Act, and Section 21E of the Securities Exchange Act of 1934, as amended, or the Exchange Act. In particular, statements pertaining to our capital resources, portfolio performance and results of operations contain forward-looking statements. Likewise, our statements regarding anticipated growth in our funds from operations and anticipated market conditions, demographics and results of operations are forward-looking statements. You can identify forward-looking statements by the use of forward-looking terminology such as “believes,” “expects,” “may,” “will,” “should,” “seeks,” “approximately,” “intends,” “plans,” “estimates” or “anticipates”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economic or real estate developments in our markets;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defaults on, early terminations of or non-renewal of leases by tenants, including significant tenants;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decreased rental rates or increased vacancy rates;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generate sufficient cash flows to service our outstanding indebtedness;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interest rates and increased operating costs;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obtain necessary outside financing;</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inability to develop or redevelop our properties due to market conditions;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investment returns from our developed properties may be less than anticipated;</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 economic conditions, including the impact of tariffs and other trade restrictions;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impact of a prolonged government shutdown;</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market fluctuations;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that affect the general office, retail, multifamily and mixed-use environment;</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competitive environment in which we operate;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system failures or security incidents through cyberattacks;</w:t>
      </w:r>
    </w:p>
    <w:p>
      <w:pPr>
        <w:spacing w:after="0" w:line="63" w:lineRule="exact"/>
        <w:rPr>
          <w:rFonts w:ascii="Times New Roman" w:cs="Times New Roman" w:eastAsia="Times New Roman" w:hAnsi="Times New Roman"/>
          <w:sz w:val="18"/>
          <w:szCs w:val="18"/>
          <w:i w:val="1"/>
          <w:iCs w:val="1"/>
          <w:color w:val="auto"/>
        </w:rPr>
      </w:pPr>
    </w:p>
    <w:p>
      <w:pPr>
        <w:ind w:left="660" w:right="320" w:hanging="328"/>
        <w:spacing w:after="0" w:line="281"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epidemics, pandemics, or other outbreaks of illness, disease or virus and the actions taken by government authorities and others related thereto, including the ability of our company, our properties and our tenants to operate;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difficulties in identifying properties to acquire and completing acquisitions;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successfully operate acquired properties and operations;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joint venture arrangements;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litigation;</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difficulties in completing dispositions;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conflicts of interests with our officers or directors;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lack or insufficient amounts of insurance;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environmental uncertainties and risks related to adverse weather conditions and natural disasters;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affecting the real estate industry generally;</w:t>
      </w:r>
    </w:p>
    <w:p>
      <w:pPr>
        <w:spacing w:after="0" w:line="63" w:lineRule="exact"/>
        <w:rPr>
          <w:rFonts w:ascii="Times New Roman" w:cs="Times New Roman" w:eastAsia="Times New Roman" w:hAnsi="Times New Roman"/>
          <w:sz w:val="18"/>
          <w:szCs w:val="18"/>
          <w:i w:val="1"/>
          <w:iCs w:val="1"/>
          <w:color w:val="auto"/>
        </w:rPr>
      </w:pPr>
    </w:p>
    <w:p>
      <w:pPr>
        <w:ind w:left="660" w:right="280" w:hanging="328"/>
        <w:spacing w:after="0" w:line="281"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limitations imposed on our business and our ability to satisfy complex rules in order for American Assets Trust, Inc. to continue to qualify as a real estate investment trust, or REIT, for U.S. federal income tax purposes; and</w:t>
      </w:r>
    </w:p>
    <w:p>
      <w:pPr>
        <w:spacing w:after="0" w:line="1" w:lineRule="exact"/>
        <w:rPr>
          <w:rFonts w:ascii="Times New Roman" w:cs="Times New Roman" w:eastAsia="Times New Roman" w:hAnsi="Times New Roman"/>
          <w:sz w:val="18"/>
          <w:szCs w:val="18"/>
          <w:i w:val="1"/>
          <w:iCs w:val="1"/>
          <w:color w:val="auto"/>
        </w:rPr>
      </w:pPr>
    </w:p>
    <w:p>
      <w:pPr>
        <w:ind w:left="660" w:right="200" w:hanging="328"/>
        <w:spacing w:after="0" w:line="284"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governmental regulations or interpretations thereof, such as real estate and zoning laws and increases in real property tax rates and taxation of REITs.</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While forward-looking statements reflect our good faith beliefs, they are not guarantees of future performance. We disclaim any obligation to publicly update or revise any forward-looking statement to reflect changes in underlying assumptions or factors, or new information, data or methods, future events or other changes. For a further discussion of these and other factors that could impact our future results, performance or transactions, see the section entitled “Item 1A. Risk Factors” contained herein and in our annual report on Form 10-K for the year ended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References to “we,” “our,” “us” and “our company” refer to American Assets Trust, Inc., a Maryland corporation, together with our consolidated subsidiaries, including American Assets Trust, L.P., a Maryland limited partnership, of which we are the sole general partner and which we refer to in this report as our Operating Partnership.</w:t>
      </w:r>
    </w:p>
    <w:p>
      <w:pPr>
        <w:spacing w:after="0" w:line="122"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are a full service, vertically integrated and self-administered REIT that owns, operates, acquires and develops high quality retail, office, multifamily and mixed-use properties in attractive, high-barrier-to-entry markets in Southern California, Northern California, Washington, Oregon, Texas and Hawaii. As of September 30, 2026, our portfolio was comprised of twelve office properties; eleven retail shopping centers; a mixed-use property consisting of a 369-room all-suite hotel and a retail shopping center; and seven multifamily properties. Additionally, as of September 30, 2026, we owned land at two of our properties that we classified as held for development and/or construction in progress. Our core markets include San Diego, California; the San Francisco Bay Area, California; Bellevue, Washington; Portland, Oregon and Oahu, Hawaii. We are a Maryland corporation formed on July 16, 2010 to acquire the entities owning various controlling and noncontrolling interests in real estate assets owned and/or managed by Ernest S. Rady or his affiliates, including the Ernest Rady Trust U/D/T March 13, 1983, or the Rady Trust, and did not have any operating activity until the consummation of our initial public offering on January 19, 2011. Our Company, as the sole general partner of our Operating Partnership, has control of our Operating Partnership and owned 78.96% of our Operating Partnership as of September 30, 2026. Accordingly, we consolidate the assets, liabilities and results of operations of our Operating Partnership.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We identified certain critical accounting policies that affect certain of our more significant estimates and assumptions used in preparing our consolidated financial statements in our annual report on Form 10-K for the year ended December 31, 2025. We have not made any material changes to these policies during the periods covered by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Same-store</w:t>
      </w:r>
    </w:p>
    <w:p>
      <w:pPr>
        <w:spacing w:after="0" w:line="25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have provided certain information on a total portfolio, same-store and redevelopment same-store basis. Information provided on a same-store basis includes the results of properties that we owned and operated for the entirety of both periods being compared except for properties for which significant redevelopment or expansion occurred during either of the periods being compared, properties under development, properties classified as held for development and properties classified as discontinued operations. Information provided on a redevelopment same-store basis includes the results of properties undergoing significant redevelopment for the entirety or portion of both periods being compared. Same-store and redevelopment same-store are considered by management to be important measures because they assist in eliminating disparities due to the development, acquisition or disposition of properties during the particular period presented, and thus provide a more consistent performance measure for the comparison of the company's stabilized and redevelopment properties, as applicable. Additionally, redevelopment same-store is considered by management to be an important measure because it assists in evaluating the timing of the start and stabilization of our redevelopment opportunities and the impact that these redevelopments have in enhancing our operating performance.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363"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While there is judgment surrounding changes in designations, we typically reclassify significant development, redevelopment or expansion properties into same-store properties once they are stabilized. Properties are deemed stabilized typically at the earlier of (i) reaching 90% occupancy or (ii) four quarters following a property's inclusion in operating real estate. We typically remove properties from same-store properties when the development, redevelopment or expansion has or is expected to have a significant impact on the property's annualized base rent, occupancy and operating income within the calendar year. Our evaluation of significant impact related to development, redevelopment or expansion activity is based on quantitative and qualitative measures including, but not limited to, the following: the total budgeted cost of planned construction activity compared to the property’s annualized base rent, occupancy and operating income within the calendar year; percentage of development, redevelopment or expansion square footage to total property square footage; and the ability to maintain historic occupancy and rental rates. In consideration of these measures, we generally remove properties from same-store properties when we see a decline in a property's annualized base rent, occupancy and operating income within the calendar year as a direct result of ongoing redevelopment, development or expansion activity. Acquired properties are classified into same-store properties once we have owned such properties for the entirety of comparable period(s) and the properties are not under significant development or expansion.</w:t>
      </w:r>
    </w:p>
    <w:p>
      <w:pPr>
        <w:spacing w:after="0" w:line="219" w:lineRule="exact"/>
        <w:rPr>
          <w:sz w:val="20"/>
          <w:szCs w:val="20"/>
          <w:color w:val="auto"/>
        </w:rPr>
      </w:pPr>
    </w:p>
    <w:p>
      <w:pPr>
        <w:ind w:right="160" w:firstLine="405"/>
        <w:spacing w:after="0" w:line="273" w:lineRule="auto"/>
        <w:rPr>
          <w:sz w:val="20"/>
          <w:szCs w:val="20"/>
          <w:color w:val="auto"/>
        </w:rPr>
      </w:pPr>
      <w:r>
        <w:rPr>
          <w:rFonts w:ascii="Times New Roman" w:cs="Times New Roman" w:eastAsia="Times New Roman" w:hAnsi="Times New Roman"/>
          <w:sz w:val="17"/>
          <w:szCs w:val="17"/>
          <w:color w:val="auto"/>
        </w:rPr>
        <w:t>Below is a summary of our same-store and redevelopment same-store composition for the three and nine months ended September 30, 2026 and 2025. One Beach Street is classified as a same-store property when compared to the designation for the three and nine months ended September 30, 2025, as this property was placed into service on August 1, 2024. Genesee Park is classified as a same-store property when compared to the designation for the three months ended September 30, 2025 and a non-same-store property when compared to the designation for the nine months ended September 30, 2025 as it was acquired on February 28, 2025. La Jolla Commons III is classified as a same-store property when compared to the designation for the three months ended September 30, 2025 and a non-same-store property when compared to the designation for the nine months ended September 30, 2025, as it was placed into service on April 1, 2025. La Jolla Commons III is a part of the La Jolla Commons office project, and not a stand-alone property.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32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Pr>
          <w:p>
            <w:pPr>
              <w:spacing w:after="0"/>
              <w:rPr>
                <w:sz w:val="16"/>
                <w:szCs w:val="16"/>
                <w:color w:val="auto"/>
              </w:rPr>
            </w:pPr>
          </w:p>
        </w:tc>
      </w:tr>
      <w:tr>
        <w:trPr>
          <w:trHeight w:val="23"/>
        </w:trPr>
        <w:tc>
          <w:tcPr>
            <w:tcW w:w="35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6"/>
        </w:trPr>
        <w:tc>
          <w:tcPr>
            <w:tcW w:w="4880" w:type="dxa"/>
            <w:vAlign w:val="bottom"/>
            <w:gridSpan w:val="2"/>
          </w:tcPr>
          <w:p>
            <w:pPr>
              <w:ind w:left="4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9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r>
      <w:tr>
        <w:trPr>
          <w:trHeight w:val="23"/>
        </w:trPr>
        <w:tc>
          <w:tcPr>
            <w:tcW w:w="35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Same-Store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Non-Same-Store</w:t>
            </w:r>
          </w:p>
        </w:tc>
        <w:tc>
          <w:tcPr>
            <w:tcW w:w="1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3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43"/>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Development Properties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ind w:right="540" w:firstLine="405"/>
        <w:spacing w:after="0" w:line="277" w:lineRule="auto"/>
        <w:rPr>
          <w:sz w:val="20"/>
          <w:szCs w:val="20"/>
          <w:color w:val="auto"/>
        </w:rPr>
      </w:pPr>
      <w:r>
        <w:rPr>
          <w:rFonts w:ascii="Times New Roman" w:cs="Times New Roman" w:eastAsia="Times New Roman" w:hAnsi="Times New Roman"/>
          <w:sz w:val="17"/>
          <w:szCs w:val="17"/>
          <w:color w:val="auto"/>
        </w:rPr>
        <w:t>We seek growth in earnings, funds from operations and cash flows primarily through a combination of the following: growth in our same-store portfolio, growth in our portfolio from property development and redevelopments and expansion of our portfolio through property acquisitions. Our properties are located in some of the nation's most dynamic, high-barrier-to-entry markets primarily in Southern California, Northern California, Washington, Oregon and Hawaii, which allow us to take advantage of redevelopment opportunities that enhance our operating performance through renovation, expansion, reconfiguration and/or retenanting. We evaluate our properties on an ongoing basis to identify these types of opportunities.</w:t>
      </w:r>
    </w:p>
    <w:p>
      <w:pPr>
        <w:spacing w:after="0" w:line="19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intend to opportunistically pursue projects in our development pipeline, including future phases of Lloyd Portfolio, other redevelopments at Waikele Center, as well as multifamily development opportunities within our existing portfolio, namely at Lomas Santa Fe Plaza, Solana Beach Towne Centre, Carmel Mountain Plaza and Genesee Park. The commencement of these developments is based on, among other things, market conditions and our evaluation of whether such opportunities would generate appropriate risk-adjusted financial returns. Our redevelopment and development opportunities are subject to various factors, including market conditions and may not ultimately come to fruition.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36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continue to review acquisition opportunities in our primary markets that would complement our portfolio and provide long-term growth opportunities. Some of our acquisitions do not initially contribute significantly to earnings growth; however, we believe they provide long-term re-leasing growth, redevelopment opportunities and other strategic opportunities. Any growth from acquisitions is contingent upon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a property acquisition. Generally, our acquisitions are initially financed by available cash, mortgage loans and/or borrowings under our revolving line of credit, which may be repaid later with funds raised through the issuance of new equity or new long-term debt.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Leasing</w:t>
      </w:r>
    </w:p>
    <w:p>
      <w:pPr>
        <w:spacing w:after="0" w:line="25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same-store growth is primarily driven by increases in rental rates on new leases and lease renewals and changes in portfolio occupancy. Over the long-term, we believe that the infill nature and strong demographics of our properties provide us with a strategic advantage, allowing us to maintain relatively high occupancy and increase rental rates. Furthermore, we believe the locations of our properties and diversified portfolio will mitigate some of the potentially negative impact of the current economic environment.</w:t>
      </w:r>
    </w:p>
    <w:p>
      <w:pPr>
        <w:spacing w:after="0" w:line="20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we signed 20 office leases for a total of 123,517 square feet of office space including 47,183 square feet of comparable space leases (leases for which there was a prior tenant), at an average rental rate increase on a cash and GAAP basis of 2.1% and 8.2%, respectively. New office leases for comparable spaces were signed for 3,196 square feet at an average rental rate increase on a cash and GAAP basis of 0.9% and 2.4%, respectively. Renewals for comparable office spaces were signed for 43,987 square feet at an average rental rate increase on a cash and GAAP basis of 2.2% and 8.7%, respectively. There were no new tenant improvements, or incentives on office space for comparable new leases during the three months ended September 30, 2026.</w:t>
      </w:r>
    </w:p>
    <w:p>
      <w:pPr>
        <w:spacing w:after="0" w:line="21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we signed 23 retail leases for a total of 108,344 square feet of retail space including 94,158 square feet of comparable space leases (leases for which there was a prior tenant), at an average rental rate increase on a cash and GAAP basis of 7.4% and 16.8%, respectively. New retail leases for comparable spaces were signed for 9,152 square feet at an average rental rate increase on a cash and GAAP basis of 7.2% and 57.5%, respectively. Renewals for comparable retail spaces were signed for 85,006 square feet at an average rental rate increase on a cash and GAAP basis of 7.4% and 9.7%, respectively. Tenant improvements and incentives were $54.05 per square foot of retail space for comparable new leases for the three months ended September 30, 2026, mainly due to new tenant leases at Lomas Santa Fe Plaza and Geary Marketplace.</w:t>
      </w:r>
    </w:p>
    <w:p>
      <w:pPr>
        <w:spacing w:after="0" w:line="214"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paid on the expiring lease and minimum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of a space as it relates to a specific lease, but may also include base-building costs (i.e. expansion, escalators or new entrances) which are required to make the space leasable. Incentives include amounts paid to tenants as an inducement to sign a lease that do not represent building improvements.</w:t>
      </w:r>
    </w:p>
    <w:p>
      <w:pPr>
        <w:spacing w:after="0" w:line="21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leases signed in 2026 generally become effective over the following year, though some may not become effective until 2027 and beyond. Further, there is risk that some new tenants will not ultimately take possession of their space and that tenants for both new and renewal leases may not pay all of their contractual rent due to operating, financing or other matters.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256" w:lineRule="exact"/>
        <w:rPr>
          <w:sz w:val="20"/>
          <w:szCs w:val="20"/>
          <w:color w:val="auto"/>
        </w:rPr>
      </w:pPr>
    </w:p>
    <w:p>
      <w:pPr>
        <w:ind w:right="220" w:firstLine="405"/>
        <w:spacing w:after="0" w:line="254"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and redevelopment of real estate, including pre-construction costs, real estate taxes, insurance, interest, construction costs and salaries and related costs of personnel directly involved, are capitalized. We capitalize costs under development until construction is substantially complete and the property is held available for occupancy. The determination of when a development project is substantially complete and when capitalization must cease involves a degree of judgment. We consider a construction project as substantially complete and held available for occupancy upon the completion of landlord-owned tenant improvements or when the lessee takes possession of the unimproved space for construction of its own improvements, but not later than one year from cessation of major construction activity. We cease capitalization on the portion substantially completed and occupied or held available for occupancy, and capitalize only those costs associated with any remaining portion under construction.</w:t>
      </w:r>
    </w:p>
    <w:p>
      <w:pPr>
        <w:spacing w:after="0" w:line="21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We capitalized external and internal costs related to new development, redevelopment, expansion and repositioning activities combined of $13.6 million and $5.4 million for the three months ended September 30, 2026 and 2025, respectively, and $36.8 million and $16.0 million for the nine months ended September 30, 2026 and 2025, respectively.</w:t>
      </w:r>
    </w:p>
    <w:p>
      <w:pPr>
        <w:spacing w:after="0" w:line="176"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We capitalized external and internal costs related to other property improvements combined of $9.1 million and $15.6 million for the three months ended September 30, 2026 and 2025, respectively, and $37.7 million and $40.7 million for the nine months ended September 30, 2026 and 2025, respectively.</w:t>
      </w:r>
    </w:p>
    <w:p>
      <w:pPr>
        <w:spacing w:after="0" w:line="12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Interest costs on developments and major redevelopments are capitalized as part of developments and redevelopments not yet placed into service. Capitalization of interest commences when development activities and expenditures begin and end upon completion, which is when the asset is ready for its intended use as noted above. We make judgments as to the time period over which to capitalize such costs and these assumptions have a direct impact on net income because capitalized costs are not subtracted in calculating net income. If the time period for capitalizing interest is extended, however, more interest is capitalized, thereby decreasing interest expense and increasing net income during that period. Because the development of La Jolla Commons III is now complete and the building, inclusive of the land, was placed into service as of April 1, 2025, there were no capitalized interest costs related to development activities after the three months ended March 31, 2025. We capitalized interest costs related to development activities of $1.4 million for the nine months ended September 30,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our discussion of results of operations, we have provided information on a total portfolio and same-store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to the three months ended September 30, 2025</w:t>
      </w:r>
    </w:p>
    <w:p>
      <w:pPr>
        <w:spacing w:after="0" w:line="17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following summarizes our consolidated results of operations for the three months ended September 30, 2026 compared to our consolidated results of operations for the three months ended September 30, 2025. As of September 30, 2026 and September 30, 2025 our operating portfolio was comprised of 31 office, retail, multifamily and mixed-use properties with an aggregate of approximately 6.8 million rentable square feet of office and retail space, including the retail portion of our mixed-use property, 2,302 residential units (including 120 RV spaces) and a 369-room hotel. Additionally, as of September 30, 2026 and September 30, 2025, we owned land at two of our properties that we classified as held for development and/or construction in progress.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selected data from our unaudited consolidated statements of comprehensive income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(dollars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income</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revenues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tcPr>
          <w:p>
            <w:pPr>
              <w:spacing w:after="0"/>
              <w:rPr>
                <w:sz w:val="20"/>
                <w:szCs w:val="20"/>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operating income</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Pr>
          <w:p>
            <w:pPr>
              <w:spacing w:after="0"/>
              <w:rPr>
                <w:sz w:val="20"/>
                <w:szCs w:val="20"/>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restricted shares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unitholders in the Operating Partnership</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61"/>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American Assets Trust, Inc. stockholders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90" w:lineRule="exact"/>
        <w:rPr>
          <w:sz w:val="20"/>
          <w:szCs w:val="20"/>
          <w:color w:val="auto"/>
        </w:rPr>
      </w:pPr>
    </w:p>
    <w:p>
      <w:pPr>
        <w:jc w:val="both"/>
        <w:ind w:right="14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Total property revenues</w:t>
      </w:r>
      <w:r>
        <w:rPr>
          <w:rFonts w:ascii="Times New Roman" w:cs="Times New Roman" w:eastAsia="Times New Roman" w:hAnsi="Times New Roman"/>
          <w:sz w:val="18"/>
          <w:szCs w:val="18"/>
          <w:color w:val="auto"/>
        </w:rPr>
        <w:t>. Total property revenue consists of rental income and other property income. Total property revenue increased $4.7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4%, to $114.3 million for the three months ended September 30, 2026 compared to $109.6 million for the three months ended September 30, 2025. The percentage leased was as follows for each segment as of September 30, 2026 and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Percentage Leased</w:t>
            </w:r>
            <w:r>
              <w:rPr>
                <w:rFonts w:ascii="Times New Roman" w:cs="Times New Roman" w:eastAsia="Times New Roman" w:hAnsi="Times New Roman"/>
                <w:sz w:val="23"/>
                <w:szCs w:val="23"/>
                <w:b w:val="1"/>
                <w:bCs w:val="1"/>
                <w:color w:val="auto"/>
                <w:w w:val="97"/>
                <w:vertAlign w:val="superscript"/>
              </w:rPr>
              <w:t>(1)</w:t>
            </w:r>
          </w:p>
        </w:tc>
        <w:tc>
          <w:tcPr>
            <w:tcW w:w="940" w:type="dxa"/>
            <w:vAlign w:val="bottom"/>
          </w:tcPr>
          <w:p>
            <w:pPr>
              <w:spacing w:after="0"/>
              <w:rPr>
                <w:sz w:val="23"/>
                <w:szCs w:val="23"/>
                <w:color w:val="auto"/>
              </w:rPr>
            </w:pPr>
          </w:p>
        </w:tc>
      </w:t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8980" w:type="dxa"/>
            <w:vAlign w:val="bottom"/>
            <w:gridSpan w:val="2"/>
          </w:tcPr>
          <w:p>
            <w:pPr>
              <w:ind w:left="8700"/>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1320" w:type="dxa"/>
            <w:vAlign w:val="bottom"/>
          </w:tcPr>
          <w:p>
            <w:pPr>
              <w:spacing w:after="0"/>
              <w:rPr>
                <w:sz w:val="16"/>
                <w:szCs w:val="16"/>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85.8 %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81.9 %</w:t>
            </w:r>
          </w:p>
        </w:tc>
      </w:tr>
      <w:tr>
        <w:trPr>
          <w:trHeight w:val="243"/>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32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98.3 %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97.9 %</w:t>
            </w:r>
          </w:p>
        </w:tc>
      </w:tr>
      <w:tr>
        <w:trPr>
          <w:trHeight w:val="243"/>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3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92.4 %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r>
      <w:tr>
        <w:trPr>
          <w:trHeight w:val="325"/>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Mixed-Use </w:t>
            </w:r>
            <w:r>
              <w:rPr>
                <w:rFonts w:ascii="Times New Roman" w:cs="Times New Roman" w:eastAsia="Times New Roman" w:hAnsi="Times New Roman"/>
                <w:sz w:val="23"/>
                <w:szCs w:val="23"/>
                <w:color w:val="auto"/>
                <w:vertAlign w:val="superscript"/>
              </w:rPr>
              <w:t>(2)</w:t>
            </w:r>
          </w:p>
        </w:tc>
        <w:tc>
          <w:tcPr>
            <w:tcW w:w="132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93.7 %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w:t>
            </w:r>
          </w:p>
        </w:tc>
      </w:tr>
    </w:tbl>
    <w:p>
      <w:pPr>
        <w:spacing w:after="0" w:line="233" w:lineRule="exact"/>
        <w:rPr>
          <w:sz w:val="20"/>
          <w:szCs w:val="20"/>
          <w:color w:val="auto"/>
        </w:rPr>
      </w:pPr>
    </w:p>
    <w:p>
      <w:pPr>
        <w:ind w:left="660" w:right="100" w:hanging="328"/>
        <w:spacing w:after="0" w:line="271" w:lineRule="auto"/>
        <w:tabs>
          <w:tab w:leader="none" w:pos="65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leased for our retail and office segments and the retail portion of our mixed-use segment includes the square footage under lease, including leases which may not have commenced as of September 30, 2026 or 2025, as applicable. Percentage leased for our multifamily properties includes total units leased and occupied as of the applicable date.</w:t>
      </w:r>
    </w:p>
    <w:p>
      <w:pPr>
        <w:ind w:left="640" w:hanging="30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retail portion of the mixed-use property only.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in total property revenue was attributable primarily to the factors discussed below.</w:t>
      </w:r>
    </w:p>
    <w:p>
      <w:pPr>
        <w:spacing w:after="0" w:line="169" w:lineRule="exact"/>
        <w:rPr>
          <w:sz w:val="20"/>
          <w:szCs w:val="20"/>
          <w:color w:val="auto"/>
        </w:rPr>
      </w:pPr>
    </w:p>
    <w:p>
      <w:pPr>
        <w:ind w:right="28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Rental income</w:t>
      </w:r>
      <w:r>
        <w:rPr>
          <w:rFonts w:ascii="Times New Roman" w:cs="Times New Roman" w:eastAsia="Times New Roman" w:hAnsi="Times New Roman"/>
          <w:sz w:val="18"/>
          <w:szCs w:val="18"/>
          <w:color w:val="auto"/>
        </w:rPr>
        <w:t>. Rental income includes minimum base rent, cost reimbursements, percentage rents and other rents. Rental income increased $5.6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5%, to $107.8 million for the three months ended September 30, 2026 compared to $102.2 million for the three months ended September 30, 2025. Rental income by segment was as follows (dollars in thousands):</w:t>
      </w:r>
    </w:p>
    <w:tbl>
      <w:tblPr>
        <w:tblLayout w:type="fixed"/>
        <w:tblInd w:w="0" w:type="dxa"/>
        <w:tblCellMar>
          <w:top w:w="0" w:type="dxa"/>
          <w:left w:w="0" w:type="dxa"/>
          <w:bottom w:w="0" w:type="dxa"/>
          <w:right w:w="0" w:type="dxa"/>
        </w:tblCellMar>
      </w:tblPr>
      <w:tr>
        <w:trPr>
          <w:trHeight w:val="244"/>
        </w:trPr>
        <w:tc>
          <w:tcPr>
            <w:tcW w:w="1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5"/>
          </w:tcPr>
          <w:p>
            <w:pPr>
              <w:ind w:left="100"/>
              <w:spacing w:after="0" w:line="244" w:lineRule="exact"/>
              <w:rPr>
                <w:sz w:val="20"/>
                <w:szCs w:val="20"/>
                <w:color w:val="auto"/>
              </w:rPr>
            </w:pPr>
            <w:r>
              <w:rPr>
                <w:rFonts w:ascii="Times New Roman" w:cs="Times New Roman" w:eastAsia="Times New Roman" w:hAnsi="Times New Roman"/>
                <w:sz w:val="14"/>
                <w:szCs w:val="14"/>
                <w:b w:val="1"/>
                <w:bCs w:val="1"/>
                <w:color w:val="auto"/>
              </w:rPr>
              <w:t>Same-Store Portfolio</w:t>
            </w:r>
            <w:r>
              <w:rPr>
                <w:rFonts w:ascii="Times New Roman" w:cs="Times New Roman" w:eastAsia="Times New Roman" w:hAnsi="Times New Roman"/>
                <w:sz w:val="23"/>
                <w:szCs w:val="23"/>
                <w:b w:val="1"/>
                <w:bCs w:val="1"/>
                <w:color w:val="auto"/>
                <w:vertAlign w:val="superscript"/>
              </w:rPr>
              <w:t>(1)</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1"/>
        </w:trPr>
        <w:tc>
          <w:tcPr>
            <w:tcW w:w="1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this table and tables following, the same-store portfolio excludes land held for development (office).</w:t>
      </w:r>
    </w:p>
    <w:p>
      <w:pPr>
        <w:spacing w:after="0" w:line="16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Office rental income increased $3.9 million for the three months ended September 30, 2026 compared to the three months ended September 30, 2025 primarily due to new tenant leases at La Jolla Commons III, City Center Bellevue, Lloyd Portfolio and One Beach Street, and the collection of previously reserved receivables at Coastal Collection at Torrey Reserve.</w:t>
      </w:r>
    </w:p>
    <w:p>
      <w:pPr>
        <w:spacing w:after="0" w:line="12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Retail rental income decreased $0.1 million for the three months ended September 30, 2026 compared to the three months ended September 30, 2025 due to a decrease in cost recoveries of $0.7 million primarily due to prior year tax refunds received at Waikele Center that were passed back to tenants. These decreases were partially offset by increases related to new tenant leases at Alamo Quarry Market, Lomas Santa Fe Plaza and Gateway Marketplace.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Multifamily rental income increased $0.5 million for the three months ended September 30, 2026 compared to the three months ended September 30,</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2025 primarily due to an overall increase in average monthly base rent in overall occupancy. Average monthly base rent and occupancy was $2,753 and 91.8%, for the three months ended September 30, 2026, respectively, compared to $2,693 and 89.9%, for the three months ended September 30, 2025, respectively.</w:t>
      </w:r>
    </w:p>
    <w:p>
      <w:pPr>
        <w:spacing w:after="0" w:line="13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Total mixed-use rental income increased $1.4 million for the three months ended September 30, 2026 compared to the three months ended September 30, 2025 primarily due to an increase at the hotel portion of our mixed-use property due to an increase in average occupancy and revenue per available room to 88.5% and $337 for the three months ended September 30, 2026, respectively, compared to 78.3% and $298 for the three months ended September 30, 2025, respectively.</w:t>
      </w:r>
    </w:p>
    <w:p>
      <w:pPr>
        <w:spacing w:after="0" w:line="124" w:lineRule="exact"/>
        <w:rPr>
          <w:sz w:val="20"/>
          <w:szCs w:val="20"/>
          <w:color w:val="auto"/>
        </w:rPr>
      </w:pPr>
    </w:p>
    <w:p>
      <w:pPr>
        <w:ind w:right="500" w:firstLine="445"/>
        <w:spacing w:after="0" w:line="279" w:lineRule="auto"/>
        <w:rPr>
          <w:sz w:val="20"/>
          <w:szCs w:val="20"/>
          <w:color w:val="auto"/>
        </w:rPr>
      </w:pPr>
      <w:r>
        <w:rPr>
          <w:rFonts w:ascii="Times New Roman" w:cs="Times New Roman" w:eastAsia="Times New Roman" w:hAnsi="Times New Roman"/>
          <w:sz w:val="18"/>
          <w:szCs w:val="18"/>
          <w:i w:val="1"/>
          <w:iCs w:val="1"/>
          <w:color w:val="auto"/>
        </w:rPr>
        <w:t>Other property income</w:t>
      </w:r>
      <w:r>
        <w:rPr>
          <w:rFonts w:ascii="Times New Roman" w:cs="Times New Roman" w:eastAsia="Times New Roman" w:hAnsi="Times New Roman"/>
          <w:sz w:val="18"/>
          <w:szCs w:val="18"/>
          <w:color w:val="auto"/>
        </w:rPr>
        <w:t>. Other property income decreased $0.9 million, or 12%, to $6.4 million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$7.4 million for the three months ended September 30, 2025. Other property income by segment was as follows (dollars in thousands):</w:t>
      </w:r>
    </w:p>
    <w:tbl>
      <w:tblPr>
        <w:tblLayout w:type="fixed"/>
        <w:tblInd w:w="0" w:type="dxa"/>
        <w:tblCellMar>
          <w:top w:w="0" w:type="dxa"/>
          <w:left w:w="0" w:type="dxa"/>
          <w:bottom w:w="0" w:type="dxa"/>
          <w:right w:w="0" w:type="dxa"/>
        </w:tblCellMar>
      </w:tblPr>
      <w:tr>
        <w:trPr>
          <w:trHeight w:val="190"/>
        </w:trPr>
        <w:tc>
          <w:tcPr>
            <w:tcW w:w="1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20" w:type="dxa"/>
            <w:vAlign w:val="bottom"/>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28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1,958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8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3,116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2"/>
        </w:trPr>
        <w:tc>
          <w:tcPr>
            <w:tcW w:w="1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Office other property income decreased $0.9 million for the three months ended September 30, 2026 compared to the three months ended September 30, 2025 primarily due to lease termination fees received at 14Acres during 2025, partially offset by an increase in parking garage income.</w:t>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Expenses</w:t>
      </w:r>
    </w:p>
    <w:p>
      <w:pPr>
        <w:spacing w:after="0" w:line="90" w:lineRule="exact"/>
        <w:rPr>
          <w:sz w:val="20"/>
          <w:szCs w:val="20"/>
          <w:color w:val="auto"/>
        </w:rPr>
      </w:pPr>
    </w:p>
    <w:p>
      <w:pPr>
        <w:ind w:right="14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Property Expenses. </w:t>
      </w:r>
      <w:r>
        <w:rPr>
          <w:rFonts w:ascii="Times New Roman" w:cs="Times New Roman" w:eastAsia="Times New Roman" w:hAnsi="Times New Roman"/>
          <w:sz w:val="18"/>
          <w:szCs w:val="18"/>
          <w:color w:val="auto"/>
        </w:rPr>
        <w:t>Total property expenses consist of rental expenses and real estate taxes. Total property expenses decreased $0.1 million,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$43.2 million for the three months ended September 30, 2026 compared to $43.3 million for the three months ended September 30, 2025.</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firstLine="445"/>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Rental Expenses. </w:t>
      </w:r>
      <w:r>
        <w:rPr>
          <w:rFonts w:ascii="Times New Roman" w:cs="Times New Roman" w:eastAsia="Times New Roman" w:hAnsi="Times New Roman"/>
          <w:sz w:val="18"/>
          <w:szCs w:val="18"/>
          <w:color w:val="auto"/>
        </w:rPr>
        <w:t>Rental expenses increased $1.8 million, or 6%, to $33.6 million for the three months ended September 30, 2026 compared to $31.8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2025. Rental expense by segment was as follows (dollars in thousands):</w:t>
      </w: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2"/>
        </w:trPr>
        <w:tc>
          <w:tcPr>
            <w:tcW w:w="1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Office rental expense increased $0.8 million for the three months ended September 30, 2026 compared to the three months ended September 30, 2025 primarily due to an increase in facilities services expense, parking garage expense and utilities expense.</w:t>
      </w:r>
    </w:p>
    <w:p>
      <w:pPr>
        <w:spacing w:after="0" w:line="108"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Retail rental expense decreased $0.1 million for the three months ended September 30, 2026 compared to the three months ended September 30, 2025 primarily due to a decrease in insurance expense, marketing expense and repairs and maintenance expense.</w:t>
      </w:r>
    </w:p>
    <w:p>
      <w:pPr>
        <w:spacing w:after="0" w:line="10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Mixed-use rental expense increased $1.2 million for the three months ended September 30, 2026 compared to the three months ended September 30, 2025 primarily due to an increase in room-related expenses and excise tax at the hotel portion of our mixed-use property and an increase in facilities service expense and repairs and maintenance expense at the retail portion of our mixed-use property.</w:t>
      </w:r>
    </w:p>
    <w:p>
      <w:pPr>
        <w:spacing w:after="0" w:line="120" w:lineRule="exact"/>
        <w:rPr>
          <w:sz w:val="20"/>
          <w:szCs w:val="20"/>
          <w:color w:val="auto"/>
        </w:rPr>
      </w:pPr>
    </w:p>
    <w:p>
      <w:pPr>
        <w:ind w:right="380" w:firstLine="445"/>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Real Estate Taxes. </w:t>
      </w:r>
      <w:r>
        <w:rPr>
          <w:rFonts w:ascii="Times New Roman" w:cs="Times New Roman" w:eastAsia="Times New Roman" w:hAnsi="Times New Roman"/>
          <w:sz w:val="18"/>
          <w:szCs w:val="18"/>
          <w:color w:val="auto"/>
        </w:rPr>
        <w:t>Real estate taxes decreased $2.0 million, or 17%, to $9.5 million for the three months ended September 30,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$11.5 million for the three months ended September 30, 2025. Real estate tax expense by segment was as follows (dollars in thousands):</w:t>
      </w: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86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8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1,088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1"/>
        </w:trPr>
        <w:tc>
          <w:tcPr>
            <w:tcW w:w="1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9,545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Office real estate taxes decreased $0.2 million for the three months ended September 30, 2026 compared to the three months ended September 30, 2025 primarily due to real estate tax refunds received at La Jolla Commons and lower property tax assessments at First &amp; Main.</w:t>
      </w:r>
    </w:p>
    <w:p>
      <w:pPr>
        <w:spacing w:after="0" w:line="108"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Retail real estate taxes decreased $1.6 million for the three months ended September 30, 2026 compared to the three months ended September 30, 2025 primarily due to real estate tax refunds received at Waikele Center.</w:t>
      </w:r>
    </w:p>
    <w:p>
      <w:pPr>
        <w:spacing w:after="0" w:line="108"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Multifamily real estate taxes decreased $0.2 million for the three months ended September 30, 2026 compared to the three months ended September 30, 2025 primarily due to real estate tax refunds received at Pacific Ridge and Hassalo on Eighth - Multifamily, partially offset by an increase in supplemental real estate taxes at Genesee Park.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Operating Income</w:t>
      </w:r>
    </w:p>
    <w:p>
      <w:pPr>
        <w:spacing w:after="0" w:line="92" w:lineRule="exact"/>
        <w:rPr>
          <w:sz w:val="20"/>
          <w:szCs w:val="20"/>
          <w:color w:val="auto"/>
        </w:rPr>
      </w:pPr>
    </w:p>
    <w:p>
      <w:pPr>
        <w:ind w:right="40" w:firstLine="445"/>
        <w:spacing w:after="0" w:line="278" w:lineRule="auto"/>
        <w:rPr>
          <w:sz w:val="20"/>
          <w:szCs w:val="20"/>
          <w:color w:val="auto"/>
        </w:rPr>
      </w:pPr>
      <w:r>
        <w:rPr>
          <w:rFonts w:ascii="Times New Roman" w:cs="Times New Roman" w:eastAsia="Times New Roman" w:hAnsi="Times New Roman"/>
          <w:sz w:val="18"/>
          <w:szCs w:val="18"/>
          <w:color w:val="auto"/>
        </w:rPr>
        <w:t>Property operating income increased $4.9 million to $71.1 million for the three months ended September 30, 2026, compared to $66.3 million for the three months ended September 30, 2025. Property operating income by segment was as follows (dollars in thousands):</w:t>
      </w:r>
    </w:p>
    <w:tbl>
      <w:tblPr>
        <w:tblLayout w:type="fixed"/>
        <w:tblInd w:w="0" w:type="dxa"/>
        <w:tblCellMar>
          <w:top w:w="0" w:type="dxa"/>
          <w:left w:w="0" w:type="dxa"/>
          <w:bottom w:w="0" w:type="dxa"/>
          <w:right w:w="0" w:type="dxa"/>
        </w:tblCellMar>
      </w:tblPr>
      <w:tr>
        <w:trPr>
          <w:trHeight w:val="190"/>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tcPr>
          <w:p>
            <w:pPr>
              <w:spacing w:after="0"/>
              <w:rPr>
                <w:sz w:val="21"/>
                <w:szCs w:val="21"/>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21"/>
                <w:szCs w:val="21"/>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2"/>
        </w:trPr>
        <w:tc>
          <w:tcPr>
            <w:tcW w:w="1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7 %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Office operating income increased $2.4 million for the three months ended September 30, 2026 compared to the three months ended September 30, 2025, primarily due to new tenant leases at La Jolla Commons III, City Center Bellevue, Lloyd Portfolio and One Beach Street, the collection of previously reserved receivables at Coastal Collection at Torrey Reserve, lower real estate taxes from refunds at La Jolla Commons and lower property tax assessments at First &amp; Main. These increases were offset by lease termination fees received at 14Acres in 2025 and higher facilities service expense, parking garage expense and utilities expense.</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Retail operating income increased $1.6 million for the three months ended September 30, 2026 compared to the three months ended September 30,</w:t>
      </w:r>
    </w:p>
    <w:p>
      <w:pPr>
        <w:spacing w:after="0" w:line="2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2025 primarily due to new tenant leases at Alamo Quarry Market, Lomas Santa Fe Plaza and Gateway Marketplace, real estate tax refunds received at Waikele Center and lower insurance expense, marketing expense, and repairs and maintenance expense.</w:t>
      </w:r>
    </w:p>
    <w:p>
      <w:pPr>
        <w:spacing w:after="0" w:line="127"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Multifamily operating income increased $0.7 million for the three months ended September 30, 2026 compared to the three months ended September 30, 2025 primarily due to an increase in rental income due to higher average monthly base rent and occupancy of $2,753 and 91.8%, respectively, for the three months ended September 30, 2026 compared to $2,693 and 89.9%, respectively, for the three months ended September 30, 2025. Additionally, the increase was also due to real estate tax refunds at Pacific Ridge and Hassalo on Eighth – Multifamily. These increases were partially offset by higher supplemental real estate taxes at Genesee Park.</w:t>
      </w:r>
    </w:p>
    <w:p>
      <w:pPr>
        <w:spacing w:after="0" w:line="12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Total mixed-use operating income increased $0.2 million for the three months ended September 30, 2026 compared to the three months ended September 30, 2025 primarily due to higher revenue at the hotel portion driven by higher occupancy and room rates. Hotel average occupancy and revenue per available room were 88.5% and $337, respectively, for the three months ended September 30, 2026 compared to 78.3% and $298, respectively, for the three months ended September 30, 2025. These increases were partially offset by higher room-related expenses and excise taxes at the hotel portion of the property and higher facilities services and repairs and maintenance expenses at the retail portion of the property.</w:t>
      </w: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0" w:lineRule="exact"/>
        <w:rPr>
          <w:sz w:val="20"/>
          <w:szCs w:val="20"/>
          <w:color w:val="auto"/>
        </w:rPr>
      </w:pPr>
    </w:p>
    <w:p>
      <w:pPr>
        <w:ind w:right="2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$0.8 million, or 9%,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2025. This decrease was primarily due to lower corporate legal expenses, consulting fees and employee-related costs including, without limitation, with respect to base pay and benefits for certain salaried and hourly workers.</w:t>
      </w:r>
    </w:p>
    <w:p>
      <w:pPr>
        <w:spacing w:after="0" w:line="119"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$1.0 million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2025. This increase was primarily due to an increase in new tenant improvements and building improvements assets placed into service, partially offset by a decrease related to leases-in-place at Genesee Park, which fully amortized within a year of acquisition.</w:t>
      </w:r>
    </w:p>
    <w:p>
      <w:pPr>
        <w:spacing w:after="0" w:line="126" w:lineRule="exact"/>
        <w:rPr>
          <w:sz w:val="20"/>
          <w:szCs w:val="20"/>
          <w:color w:val="auto"/>
        </w:rPr>
      </w:pPr>
    </w:p>
    <w:p>
      <w:pPr>
        <w:ind w:right="1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increased $0.2 million, or 1%, for the three months ended September 30, 2026,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This increase was primarily due to the amortization of the new loan fees associated with the Fourth Amended and Restated Credit Facility entered into on April 1, 2026.</w:t>
      </w:r>
    </w:p>
    <w:p>
      <w:pPr>
        <w:spacing w:after="0" w:line="119" w:lineRule="exact"/>
        <w:rPr>
          <w:sz w:val="20"/>
          <w:szCs w:val="20"/>
          <w:color w:val="auto"/>
        </w:rPr>
      </w:pPr>
    </w:p>
    <w:p>
      <w:pPr>
        <w:jc w:val="both"/>
        <w:ind w:right="1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decreased $0.4 million, or 41%, for the three months ended September 30, 2026,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This decrease was primarily due to lower interest and investment income attributed to a decrease in yield on our average cash balance during the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to the Nine Months Ended September 30, 2025</w:t>
      </w:r>
    </w:p>
    <w:p>
      <w:pPr>
        <w:spacing w:after="0" w:line="9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summarizes our consolidated results of operations for the nine months ended September 30, 2026 compared to our consolidated results of operations for the nine months ended September 30, 2025.</w:t>
      </w:r>
    </w:p>
    <w:p>
      <w:pPr>
        <w:spacing w:after="0" w:line="27"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data from our unaudited consolidated statements of income for the nine months ended September 30, 2026 and 2025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6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315,374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income</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revenues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00" w:type="dxa"/>
            <w:vAlign w:val="bottom"/>
          </w:tcPr>
          <w:p>
            <w:pPr>
              <w:spacing w:after="0"/>
              <w:rPr>
                <w:sz w:val="20"/>
                <w:szCs w:val="20"/>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128,376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operating income</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201,193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restricted shares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unitholders in the Operating Partnership</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American Assets Trust, Inc.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(34,465)</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4" w:lineRule="exact"/>
        <w:rPr>
          <w:sz w:val="20"/>
          <w:szCs w:val="20"/>
          <w:color w:val="auto"/>
        </w:rPr>
      </w:pPr>
    </w:p>
    <w:p>
      <w:pPr>
        <w:jc w:val="both"/>
        <w:ind w:right="1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Total property revenues</w:t>
      </w:r>
      <w:r>
        <w:rPr>
          <w:rFonts w:ascii="Times New Roman" w:cs="Times New Roman" w:eastAsia="Times New Roman" w:hAnsi="Times New Roman"/>
          <w:sz w:val="18"/>
          <w:szCs w:val="18"/>
          <w:color w:val="auto"/>
        </w:rPr>
        <w:t>. Total property revenue consists of rental income and other property income. Total property revenue increased $8.2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3%, to $334.4 million for the nine months ended September 30, 2026 compared to $326.1 million for the nine months ended September 30, 2025. The percentage leased was as follows for each segment as of September 30, 2026 and 2025:</w:t>
      </w:r>
    </w:p>
    <w:p>
      <w:pPr>
        <w:spacing w:after="0" w:line="62"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Percentage Leased</w:t>
      </w:r>
      <w:r>
        <w:rPr>
          <w:rFonts w:ascii="Times New Roman" w:cs="Times New Roman" w:eastAsia="Times New Roman" w:hAnsi="Times New Roman"/>
          <w:sz w:val="23"/>
          <w:szCs w:val="23"/>
          <w:b w:val="1"/>
          <w:bCs w:val="1"/>
          <w:color w:val="auto"/>
          <w:vertAlign w:val="superscript"/>
        </w:rPr>
        <w:t>(1)</w:t>
      </w:r>
    </w:p>
    <w:p>
      <w:pPr>
        <w:spacing w:after="0" w:line="9"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22225</wp:posOffset>
            </wp:positionV>
            <wp:extent cx="19202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20" w:type="dxa"/>
            <w:vAlign w:val="bottom"/>
            <w:gridSpan w:val="2"/>
          </w:tcPr>
          <w:p>
            <w:pPr>
              <w:ind w:left="88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81.9 %</w:t>
            </w:r>
          </w:p>
        </w:tc>
      </w:tr>
      <w:tr>
        <w:trPr>
          <w:trHeight w:val="243"/>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97.9 %</w:t>
            </w:r>
          </w:p>
        </w:tc>
      </w:tr>
      <w:tr>
        <w:trPr>
          <w:trHeight w:val="243"/>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r>
      <w:tr>
        <w:trPr>
          <w:trHeight w:val="312"/>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Mixed-Use </w:t>
            </w:r>
            <w:r>
              <w:rPr>
                <w:rFonts w:ascii="Times New Roman" w:cs="Times New Roman" w:eastAsia="Times New Roman" w:hAnsi="Times New Roman"/>
                <w:sz w:val="23"/>
                <w:szCs w:val="23"/>
                <w:color w:val="auto"/>
                <w:vertAlign w:val="superscript"/>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w:t>
            </w:r>
          </w:p>
        </w:tc>
      </w:tr>
    </w:tbl>
    <w:p>
      <w:pPr>
        <w:spacing w:after="0" w:line="192" w:lineRule="exact"/>
        <w:rPr>
          <w:sz w:val="20"/>
          <w:szCs w:val="20"/>
          <w:color w:val="auto"/>
        </w:rPr>
      </w:pPr>
    </w:p>
    <w:p>
      <w:pPr>
        <w:ind w:left="660" w:right="100" w:hanging="328"/>
        <w:spacing w:after="0" w:line="261" w:lineRule="auto"/>
        <w:tabs>
          <w:tab w:leader="none" w:pos="6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leased for our retail and office segments and the retail portion of our mixed-use segment includes the square footage under lease, including leases which may not have commenced as of September 30, 2026 or 2025, as applicable. Percentage leased for our multifamily properties includes total units leased and occupied as of the applicable date.</w:t>
      </w:r>
    </w:p>
    <w:p>
      <w:pPr>
        <w:ind w:left="640" w:hanging="30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retail portion of the mixed-use property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in total property revenue was attributable primarily to the factors discussed below.</w:t>
      </w:r>
    </w:p>
    <w:p>
      <w:pPr>
        <w:spacing w:after="0" w:line="169" w:lineRule="exact"/>
        <w:rPr>
          <w:sz w:val="20"/>
          <w:szCs w:val="20"/>
          <w:color w:val="auto"/>
        </w:rPr>
      </w:pPr>
    </w:p>
    <w:p>
      <w:pPr>
        <w:jc w:val="both"/>
        <w:ind w:right="36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Rental income</w:t>
      </w:r>
      <w:r>
        <w:rPr>
          <w:rFonts w:ascii="Times New Roman" w:cs="Times New Roman" w:eastAsia="Times New Roman" w:hAnsi="Times New Roman"/>
          <w:sz w:val="18"/>
          <w:szCs w:val="18"/>
          <w:color w:val="auto"/>
        </w:rPr>
        <w:t>. Rental income includes minimum base rent, cost reimbursements, percentage rents and other rents. Rental income increased $9.1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3%, to $315.4 million for the nine months ended September 30, 2026 compared to $306.2 million for the nine months ended September 30, 2025. Rental income by segment was as follows (dollars in thousands):</w:t>
      </w:r>
    </w:p>
    <w:tbl>
      <w:tblPr>
        <w:tblLayout w:type="fixed"/>
        <w:tblInd w:w="0" w:type="dxa"/>
        <w:tblCellMar>
          <w:top w:w="0" w:type="dxa"/>
          <w:left w:w="0" w:type="dxa"/>
          <w:bottom w:w="0" w:type="dxa"/>
          <w:right w:w="0" w:type="dxa"/>
        </w:tblCellMar>
      </w:tblPr>
      <w:tr>
        <w:trPr>
          <w:trHeight w:val="244"/>
        </w:trPr>
        <w:tc>
          <w:tcPr>
            <w:tcW w:w="1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5"/>
          </w:tcPr>
          <w:p>
            <w:pPr>
              <w:ind w:left="100"/>
              <w:spacing w:after="0" w:line="244" w:lineRule="exact"/>
              <w:rPr>
                <w:sz w:val="20"/>
                <w:szCs w:val="20"/>
                <w:color w:val="auto"/>
              </w:rPr>
            </w:pPr>
            <w:r>
              <w:rPr>
                <w:rFonts w:ascii="Times New Roman" w:cs="Times New Roman" w:eastAsia="Times New Roman" w:hAnsi="Times New Roman"/>
                <w:sz w:val="14"/>
                <w:szCs w:val="14"/>
                <w:b w:val="1"/>
                <w:bCs w:val="1"/>
                <w:color w:val="auto"/>
              </w:rPr>
              <w:t>Same-Store Portfolio</w:t>
            </w:r>
            <w:r>
              <w:rPr>
                <w:rFonts w:ascii="Times New Roman" w:cs="Times New Roman" w:eastAsia="Times New Roman" w:hAnsi="Times New Roman"/>
                <w:sz w:val="23"/>
                <w:szCs w:val="23"/>
                <w:b w:val="1"/>
                <w:bCs w:val="1"/>
                <w:color w:val="auto"/>
                <w:vertAlign w:val="superscript"/>
              </w:rPr>
              <w:t>(1)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147,059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21"/>
                <w:szCs w:val="21"/>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1"/>
                <w:szCs w:val="21"/>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2"/>
        </w:trPr>
        <w:tc>
          <w:tcPr>
            <w:tcW w:w="1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3 %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60" w:right="160" w:hanging="328"/>
        <w:spacing w:after="0" w:line="302" w:lineRule="auto"/>
        <w:tabs>
          <w:tab w:leader="none" w:pos="6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this table and the tables following, the same-store portfolio excludes: (i) Del Monte Center (retail), which was sold on February 25, 2025; (ii) Genesee Park (multifamily), which was acquired on February 28, 2025, (iii) La Jolla Commons III (office), which was placed into service on April 1, 2025 and (iv) land held for development (office).</w:t>
      </w:r>
    </w:p>
    <w:p>
      <w:pPr>
        <w:spacing w:after="0" w:line="11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Office rental income increased $5.9 million for the nine months ended September 30, 2026 compared to the nine months ended September 30, 2025 primarily due to new tenant leases commencing at La Jolla Commons III. Same-store rental income increased $1.9 million primarily due to new leases at City Center Bellevue, Timber Ridge, Lloyd Portfolio and One Beach Street. These increases were partially offset by vacancies at 14Acres and First &amp; Main and reassessment of straight-line rent as a tenant relocated from La Jolla Commons I to La Jolla Commons III.</w:t>
      </w:r>
    </w:p>
    <w:p>
      <w:pPr>
        <w:spacing w:after="0" w:line="12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Retail rental income decreased $0.8 million for the nine months ended September 30, 2026 compared to the nine months ended September 30, 2025 primarily due to the sale of Del Monte Center on February 25, 2025. Same-store retail rental income increased $0.8 million primarily due to new tenant leases and scheduled rent increases at Alamo Quarry Market, Lomas Santa Fe Plaza, Gateway Marketplace and Carmel Country Plaza. These increases were partially offset by a decrease in cost recoveries of $0.5 million, mainly due to prior year tax refunds received at Waikele Center that were passed back to tenants.</w:t>
      </w:r>
    </w:p>
    <w:p>
      <w:pPr>
        <w:spacing w:after="0" w:line="129" w:lineRule="exact"/>
        <w:rPr>
          <w:sz w:val="20"/>
          <w:szCs w:val="20"/>
          <w:color w:val="auto"/>
        </w:rPr>
      </w:pPr>
    </w:p>
    <w:p>
      <w:pPr>
        <w:jc w:val="both"/>
        <w:ind w:right="100" w:firstLine="445"/>
        <w:spacing w:after="0" w:line="261" w:lineRule="auto"/>
        <w:rPr>
          <w:sz w:val="20"/>
          <w:szCs w:val="20"/>
          <w:color w:val="auto"/>
        </w:rPr>
      </w:pPr>
      <w:r>
        <w:rPr>
          <w:rFonts w:ascii="Times New Roman" w:cs="Times New Roman" w:eastAsia="Times New Roman" w:hAnsi="Times New Roman"/>
          <w:sz w:val="18"/>
          <w:szCs w:val="18"/>
          <w:color w:val="auto"/>
        </w:rPr>
        <w:t>Multifamily rental income increased $1.8 million for the nine months ended September 30, 2026 compared to the nine months ended September 30, 2025 primarily due to the acquisition of Genesee Park. Same-store multifamily rental income increased $0.6 million due to an increase in average monthly base rent and occupancy, which was $2,818 and 90.4% for the nine months ended September 30, 2026 compared to $2,771 and 89.6% for the nine months ended September 30, 2025.</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Mixed-use rental income increased $2.2 million for the nine months ended September 30, 2026 compared to the nine months ended September 30,</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2025 primarily due to an increase at the hotel portion of our mixed-use property due to an increase in average occupancy and revenue per available room to 90.3% and $317 for the nine months ended September 30, 2026, respectively, compared to 82.9% and $300 for the nine months ended September 30, 2025, respectively. Additionally, there was an increase at the retail portion of our mixed-use property due to collections of previously reserved bad debt and increase in percentage rent revenue.</w:t>
      </w:r>
    </w:p>
    <w:p>
      <w:pPr>
        <w:spacing w:after="0" w:line="133" w:lineRule="exact"/>
        <w:rPr>
          <w:sz w:val="20"/>
          <w:szCs w:val="20"/>
          <w:color w:val="auto"/>
        </w:rPr>
      </w:pPr>
    </w:p>
    <w:p>
      <w:pPr>
        <w:jc w:val="both"/>
        <w:ind w:right="500" w:firstLine="445"/>
        <w:spacing w:after="0" w:line="279" w:lineRule="auto"/>
        <w:rPr>
          <w:sz w:val="20"/>
          <w:szCs w:val="20"/>
          <w:color w:val="auto"/>
        </w:rPr>
      </w:pPr>
      <w:r>
        <w:rPr>
          <w:rFonts w:ascii="Times New Roman" w:cs="Times New Roman" w:eastAsia="Times New Roman" w:hAnsi="Times New Roman"/>
          <w:sz w:val="18"/>
          <w:szCs w:val="18"/>
          <w:i w:val="1"/>
          <w:iCs w:val="1"/>
          <w:color w:val="auto"/>
        </w:rPr>
        <w:t>Other property income</w:t>
      </w:r>
      <w:r>
        <w:rPr>
          <w:rFonts w:ascii="Times New Roman" w:cs="Times New Roman" w:eastAsia="Times New Roman" w:hAnsi="Times New Roman"/>
          <w:sz w:val="18"/>
          <w:szCs w:val="18"/>
          <w:color w:val="auto"/>
        </w:rPr>
        <w:t>. Other property income decreased $0.9 million, or 4% , to $19.0 million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$19.9 million for the nine months ended September 30, 2025. Other property income by segment was as follows (dollars in thousands):</w:t>
      </w: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2"/>
        </w:trPr>
        <w:tc>
          <w:tcPr>
            <w:tcW w:w="1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Office other property income decreased $1.5 million for the nine months ended September 30, 2026 compared to the nine months ended September 30, 2025 primarily due to lease termination fees received at 14Acres and Timber Ridge and lease settlement income received at City Center Bellevue during 2025, which were partially offset by an increase in parking garage income at La Jolla Commons and Lloyd Portfolio.</w:t>
      </w:r>
    </w:p>
    <w:p>
      <w:pPr>
        <w:spacing w:after="0" w:line="122"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Retail other property income decreased $0.2 million for the nine months ended September 30, 2026 compared to the nine months ended September 30, 2025 primarily due to lease termination fees received at Alamo Quarry Market during 2025.</w:t>
      </w:r>
    </w:p>
    <w:p>
      <w:pPr>
        <w:spacing w:after="0" w:line="108" w:lineRule="exact"/>
        <w:rPr>
          <w:sz w:val="20"/>
          <w:szCs w:val="20"/>
          <w:color w:val="auto"/>
        </w:rPr>
      </w:pPr>
    </w:p>
    <w:p>
      <w:pPr>
        <w:ind w:right="600" w:firstLine="445"/>
        <w:spacing w:after="0" w:line="282" w:lineRule="auto"/>
        <w:rPr>
          <w:sz w:val="20"/>
          <w:szCs w:val="20"/>
          <w:color w:val="auto"/>
        </w:rPr>
      </w:pPr>
      <w:r>
        <w:rPr>
          <w:rFonts w:ascii="Times New Roman" w:cs="Times New Roman" w:eastAsia="Times New Roman" w:hAnsi="Times New Roman"/>
          <w:sz w:val="18"/>
          <w:szCs w:val="18"/>
          <w:color w:val="auto"/>
        </w:rPr>
        <w:t>Multifamily other property income increased $0.4 million for the nine months ended September 30, 2026 compared to the nine months ended September 30, 2025 primarily due to an increase in parking income and other operating income at Hassalo on Eighth - Multifamily.</w:t>
      </w:r>
    </w:p>
    <w:p>
      <w:pPr>
        <w:spacing w:after="0" w:line="108"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Total mixed-use other property income increased $0.4 million for the nine months ended September 30, 2026 compared to the nine months ended September 30, 2025 primarily due to an increase in room-related other income driven by higher occupancy at the hotel portion of our mixed-use property, partially offset by lease settlement income received at the retail portion of our mixed-use property during 2025.</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Expenses</w:t>
      </w:r>
    </w:p>
    <w:p>
      <w:pPr>
        <w:spacing w:after="0" w:line="90" w:lineRule="exact"/>
        <w:rPr>
          <w:sz w:val="20"/>
          <w:szCs w:val="20"/>
          <w:color w:val="auto"/>
        </w:rPr>
      </w:pPr>
    </w:p>
    <w:p>
      <w:pPr>
        <w:ind w:right="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Property Expenses. </w:t>
      </w:r>
      <w:r>
        <w:rPr>
          <w:rFonts w:ascii="Times New Roman" w:cs="Times New Roman" w:eastAsia="Times New Roman" w:hAnsi="Times New Roman"/>
          <w:sz w:val="18"/>
          <w:szCs w:val="18"/>
          <w:color w:val="auto"/>
        </w:rPr>
        <w:t>Total property expenses consist of rental expenses and real estate taxes. Total property expenses increased by $3.5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$128.4 million for the nine months ended September 30, 2026, compared to $124.9 million for the nine months ended September 30, 2025. This increase in total property expenses was attributable primarily to the factors discussed below</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right="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Rental Expenses. </w:t>
      </w:r>
      <w:r>
        <w:rPr>
          <w:rFonts w:ascii="Times New Roman" w:cs="Times New Roman" w:eastAsia="Times New Roman" w:hAnsi="Times New Roman"/>
          <w:sz w:val="18"/>
          <w:szCs w:val="18"/>
          <w:color w:val="auto"/>
        </w:rPr>
        <w:t>Rental expenses increased $5.3 million, or 6%, to $97.1 million for the nine months ended September 30, 2026, compared to $91.7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2025. Rental expense by segment was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Total Portfolio</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1"/>
                <w:szCs w:val="21"/>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1"/>
        </w:trPr>
        <w:tc>
          <w:tcPr>
            <w:tcW w:w="1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6 %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Office rental expenses increased $2.9 million for the nine months ended September 30, 2026 compared to the nine months ended September 30, 2025 primarily due to a $2.7 million increase in same-store office rental expenses due to higher utilities, facilities services, and repairs and maintenance expenses, as well as increased expenses at La Jolla Commons Tower III related to new operations and amenities.</w:t>
      </w:r>
    </w:p>
    <w:p>
      <w:pPr>
        <w:spacing w:after="0" w:line="12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Retail rental expenses decreased $0.7 million for the nine months ended September 30, 2026 compared to the nine months ended September 30, 2025 primarily due to the sale of Del Monte Center in the first quarter of 2025. Same-store retail rental expenses increased $0.2 million due to an increase in utilities expense, facilities service expense and marketing expense.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Multifamily rental expenses increased $0.7 million for the nine months ended September 30, 2026 compared to the nine months ended September 30,</w:t>
      </w:r>
    </w:p>
    <w:p>
      <w:pPr>
        <w:spacing w:after="0" w:line="27"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2025 primarily due to a $0.3 million increase in same-store multifamily rental expenses due to higher repairs and maintenance expense and security expense at Pacific Ridge Apartments, Loma Palisades and Hassalo on Eighth - Multifamily, as well as increased expenses at Genesee Park, which was acquired during the first quarter of 2025.</w:t>
      </w:r>
    </w:p>
    <w:p>
      <w:pPr>
        <w:spacing w:after="0" w:line="132"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Total mixed-use rental expenses increased $2.4 million for the nine months ended September 30, 2026 compared to the nine months ended September 30, 2025 primarily due to an increase in room-related expenses and excise tax at the hotel portion of our mixed-use property and an increase in personnel expense and repairs and maintenance expense at the retail portion of our mixed-use property.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firstLine="445"/>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Real Estate Taxes. </w:t>
      </w:r>
      <w:r>
        <w:rPr>
          <w:rFonts w:ascii="Times New Roman" w:cs="Times New Roman" w:eastAsia="Times New Roman" w:hAnsi="Times New Roman"/>
          <w:sz w:val="18"/>
          <w:szCs w:val="18"/>
          <w:color w:val="auto"/>
        </w:rPr>
        <w:t>Real estate tax expense decreased $1.9 million, or 6%, to $31.3 million for the nine months ended September 30,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$33.2 million for the nine months ended September 30, 2025. Real estate tax expense by segment was as follows (dollars in thousands):</w:t>
      </w: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2"/>
        </w:trPr>
        <w:tc>
          <w:tcPr>
            <w:tcW w:w="1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Office real estate taxes decreased $1.4 million for the nine months ended September 30, 2026 compared to the nine months ended September 30, 2025 primarily due to real estate tax refunds received at La Jolla Commons and Lloyd Portfolio, partially offset by an increase in tax consultant fees and an increase in real estate taxes at La Jolla Commons III due to the fact that we ceased capitalization of real estate taxes when the building was placed into service on April 1, 2025.</w:t>
      </w:r>
    </w:p>
    <w:p>
      <w:pPr>
        <w:spacing w:after="0" w:line="126"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Retail real estate taxes decreased $1.0 million for the nine months ended September 30, 2026 compared to the nine months ended September 30, 2025 primarily due to real estate tax refunds received at Waikele Center, partially offset by an increase in property tax assessments at Alamo Quarry Market.</w:t>
      </w:r>
    </w:p>
    <w:p>
      <w:pPr>
        <w:spacing w:after="0" w:line="122" w:lineRule="exact"/>
        <w:rPr>
          <w:sz w:val="20"/>
          <w:szCs w:val="20"/>
          <w:color w:val="auto"/>
        </w:rPr>
      </w:pPr>
    </w:p>
    <w:p>
      <w:pPr>
        <w:jc w:val="both"/>
        <w:ind w:right="200" w:firstLine="445"/>
        <w:spacing w:after="0" w:line="266" w:lineRule="auto"/>
        <w:rPr>
          <w:sz w:val="20"/>
          <w:szCs w:val="20"/>
          <w:color w:val="auto"/>
        </w:rPr>
      </w:pPr>
      <w:r>
        <w:rPr>
          <w:rFonts w:ascii="Times New Roman" w:cs="Times New Roman" w:eastAsia="Times New Roman" w:hAnsi="Times New Roman"/>
          <w:sz w:val="18"/>
          <w:szCs w:val="18"/>
          <w:color w:val="auto"/>
        </w:rPr>
        <w:t>Multifamily real estate taxes increased $0.4 million for the nine months ended September 30, 2026 compared to the nine months ended September 30, 2025 primarily due to the acquisition of Genesee Park and an increase in property tax assessments at Pacific Ridge Apartments. These increases were partially offset by real estate tax refunds received at Hassalo on Eighth - Multifamily.</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Mixed-use real estate taxes increased $0.1 million primarily due to an increase in property tax assessments.</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Operating Income</w:t>
      </w:r>
    </w:p>
    <w:p>
      <w:pPr>
        <w:spacing w:after="0" w:line="106" w:lineRule="exact"/>
        <w:rPr>
          <w:sz w:val="20"/>
          <w:szCs w:val="20"/>
          <w:color w:val="auto"/>
        </w:rPr>
      </w:pPr>
    </w:p>
    <w:p>
      <w:pPr>
        <w:ind w:right="420" w:firstLine="445"/>
        <w:spacing w:after="0" w:line="278" w:lineRule="auto"/>
        <w:rPr>
          <w:sz w:val="20"/>
          <w:szCs w:val="20"/>
          <w:color w:val="auto"/>
        </w:rPr>
      </w:pPr>
      <w:r>
        <w:rPr>
          <w:rFonts w:ascii="Times New Roman" w:cs="Times New Roman" w:eastAsia="Times New Roman" w:hAnsi="Times New Roman"/>
          <w:sz w:val="18"/>
          <w:szCs w:val="18"/>
          <w:color w:val="auto"/>
        </w:rPr>
        <w:t>Property operating income increased $4.8 million, or 2%, to $206.0 million for the nine months ended September 30, 2026, compared to $201.2 million for the nine months ended September 30, 2025. Property operating income by segment was as follows (dollars in thousands):</w:t>
      </w: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Total Portfolio</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Same-Store Portfolio</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21"/>
                <w:szCs w:val="21"/>
                <w:color w:val="auto"/>
              </w:rPr>
            </w:pPr>
          </w:p>
        </w:tc>
        <w:tc>
          <w:tcPr>
            <w:tcW w:w="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1"/>
                <w:szCs w:val="21"/>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Mixed-Use</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1"/>
        </w:trPr>
        <w:tc>
          <w:tcPr>
            <w:tcW w:w="1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201,193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Office operating income increased $2.8 million for the nine months ended September 30, 2026 compared to the nine months ended September 30, 2025, primarily due to new tenant leases at La Jolla Commons III, City Center Bellevue, Timber Ridge, Lloyd Portfolio and One Beach Street, and real estate tax refunds received at La Jolla Commons and Lloyd Portfolio. These increases were partially offset by lease termination fees received at 14 Acres during 2025, higher rental expenses from new operations and amenities at La Jolla Commons III, higher utilities expense, facilities services expense and repairs and maintenance expense and vacancies at 14Acres and First &amp; Main.</w:t>
      </w:r>
    </w:p>
    <w:p>
      <w:pPr>
        <w:spacing w:after="0" w:line="12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Retail operating income increased $0.7 million during the nine months ended September 30, 2026 compared to the nine months ended September 30, 2025 primarily due to real estate tax refunds received at Waikele Center, new tenant leases and scheduled rent increases at Alamo Quarry Market, Lomas Santa Fe Plaza, Gateway Marketplace and Carmel Country Plaza. These increases were partially offset by lease termination fees received at Alamo Quarry Market during 2025, an increase in utilities expense, facilities service expense and marketing expense, and due to the sale of Del Monte Center on February 25, 2025.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Multifamily operating income increased $1.1 million during the nine months ended September 30, 2026 compared to the nine months ended September 30, 2025 primarily due to higher revenue from the acquisition of Genesee Park and higher same-store revenue from an increase in average monthly base rent and occupancy. Average monthly base rent and occupancy were $2,818 and 90.4%, respectively, for the nine months ended September 30, 2026 compared to $2,771 and 89.6%, respectively, for the nine months ended September 30, 2025. These increases were partially offset by an increase in rental expenses due to higher repairs and maintenance expense and security expense.</w:t>
      </w:r>
    </w:p>
    <w:p>
      <w:pPr>
        <w:spacing w:after="0" w:line="129"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Mixed-use operating income increased $0.2 million during the nine months ended September 30, 2026 compared to the nine months ended September 30, 2025 primarily due to an increase at the hotel portion of our mixed-use property due to an increase in average occupancy and revenue per available room to 90.3% and $317, respectively, for the nine months ended September 30, 2026, compared to 82.9% and $300, respectively, for the nine months ended September 30, 2025. This increase was partially offset by an increase in room-related expenses and excise tax at the hotel portion of our mixed-use property.</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1"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$1.3 million, or 5%, to $26.4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$27.7 million for the nine months ended September 30, 2025. This decrease was primarily due to lower corporate legal expenses, consulting fees and employee-related costs, including, without limitation, with respect to base pay and benefits for certain salaried and hourly workers.</w:t>
      </w:r>
    </w:p>
    <w:p>
      <w:pPr>
        <w:spacing w:after="0" w:line="12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$2.8 million, or 3%, to $98.1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$95.3 million for the nine months ended September 30, 2025. This increase was primarily due to $1.9 million related to La Jolla Commons III assets which were placed into service on April 1, 2025. This increase was also related to new tenant improvements and building improvement assets placed into service, partially offset by a decrease related to leases-in-place at Genesee Park, which fully amortized within a year of acquisition.</w:t>
      </w:r>
    </w:p>
    <w:p>
      <w:pPr>
        <w:spacing w:after="0" w:line="12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increased $1.3 million, or 2%, to $59.6 million for the nine months ended September 30,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$58.3 million for the nine months ended September 30, 2025. This increase was primarily due to the amortization of the new loan fees associated with the Fourth Amended and Restated Credit Facility entered into on April 1, 2026 and a decrease in capitalized interest related to La Jolla Commons III being placed into service on April 1, 2025. This increase was partially offset by a decrease in interest expense related to the maturity and repayment of our Series C Notes on February 3, 2025.</w:t>
      </w:r>
    </w:p>
    <w:p>
      <w:pPr>
        <w:spacing w:after="0" w:line="129" w:lineRule="exact"/>
        <w:rPr>
          <w:sz w:val="20"/>
          <w:szCs w:val="20"/>
          <w:color w:val="auto"/>
        </w:rPr>
      </w:pPr>
    </w:p>
    <w:p>
      <w:pPr>
        <w:ind w:right="54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sale of real estate. </w:t>
      </w:r>
      <w:r>
        <w:rPr>
          <w:rFonts w:ascii="Times New Roman" w:cs="Times New Roman" w:eastAsia="Times New Roman" w:hAnsi="Times New Roman"/>
          <w:sz w:val="18"/>
          <w:szCs w:val="18"/>
          <w:color w:val="auto"/>
        </w:rPr>
        <w:t>Gain on sale of real estate of $44.5 million during the prior year period relates to our sale of Del Monte Center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25, 2025.</w:t>
      </w:r>
    </w:p>
    <w:p>
      <w:pPr>
        <w:spacing w:after="0" w:line="104" w:lineRule="exact"/>
        <w:rPr>
          <w:sz w:val="20"/>
          <w:szCs w:val="20"/>
          <w:color w:val="auto"/>
        </w:rPr>
      </w:pPr>
    </w:p>
    <w:p>
      <w:pPr>
        <w:jc w:val="both"/>
        <w:ind w:right="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decreased $1.2 million, or 43%, for the nine months ended September 30, 2026, compared to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This decrease was primarily due to lower interest and investment income attributed to a decrease in yield on our average cash balance during the period, partially offset by lower income tax expense.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of American Assets Trust, Inc.</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this “Liquidity and Capital Resources of American Assets Trust, Inc.” section, the term the “company” refers only to American Assets Trust,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an unconsolidated basis, and excludes the Operating Partnership and all other subsidiaries.</w:t>
      </w:r>
    </w:p>
    <w:p>
      <w:pPr>
        <w:spacing w:after="0" w:line="23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company’s business is operated primarily through the Operating Partnership, of which the company is the parent company and sole general partner, and which it consolidates for financial reporting purposes. Because the company operates on a consolidated basis with the Operating Partnership, the section entitled “Liquidity and Capital Resources of American Assets Trust, L.P.” should be read in conjunction with this section to understand the liquidity and capital resources of the company on a consolidated basis and how the company is operated as a whole.</w:t>
      </w:r>
    </w:p>
    <w:p>
      <w:pPr>
        <w:spacing w:after="0" w:line="207"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company issues public equity from time to time, but does not otherwise generate any capital itself or conduct any business itself, other than incurring certain expenses in operating as a public company which are fully reimbursed by the Operating Partnership. The company itself does not have any indebtedness, and its only material asset is its ownership of partnership interests of the Operating Partnership. Therefore, the consolidated assets and liabilities and the consolidated revenues and expenses of the company and the Operating Partnership are the same on their respective financial statements. However, all debt is held directly or indirectly by the Operating Partnership. The company’s principal funding requirement is the payment of dividends on its common stock. The company’s principal source of funding for its dividend payments is distributions it receives from the Operating Partnership.</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As of September 30, 2026, the company owned an approximate 78.96% partnership interest in the Operating Partnership. The remaining approximately 21.04% are owned by non-affiliated investors and certain of the company's directors and executive officers. As the sole general partner of the Operating Partnership, American Assets Trust, Inc. has the full, exclusive and complete authority and control over the Operating Partnership’s day-to-day management and business, can cause it to enter into certain major transactions, including acquisitions, dispositions and refinancings, and can cause changes in its line of business, capital structure and distribution policies. The company causes the Operating Partnership to distribute such portion of its available cash as the company may in its discretion determine, in the manner provided in the Operating Partnership’s partnership agreement.</w:t>
      </w:r>
    </w:p>
    <w:p>
      <w:pPr>
        <w:spacing w:after="0" w:line="21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liquidity of the company is dependent on the Operating Partnership’s ability to make sufficient distributions to the company. The primary cash requirement of the company is its payment of dividends to its stockholders. The company also guarantees some of the Operating Partnership’s debt, as discussed further in Note 7 of the Notes to Consolidated Financial Statements included elsewhere herein. If the Operating Partnership fails to fulfill certain of its debt requirements, which trigger the company’s guarantee obligations, then the company will be required to fulfill its cash payment commitments under such guarantees. However, the company’s only significant asset is its investment in the Operating Partnership.</w:t>
      </w:r>
    </w:p>
    <w:p>
      <w:pPr>
        <w:spacing w:after="0" w:line="21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believe the Operating Partnership’s sources of working capital, specifically its cash flow from operations, and borrowings available under its unsecured line of credit, are adequate for it to make its distribution payments to the company and, in turn, for the company to make its dividend payments to its stockholders. As of September 30, 2026, the company has determined that it has adequate working capital to meet its dividend funding obligations for the next 12 months. However, we cannot assure you that the Operating Partnership’s sources of capital will continue to be available at all or in amounts sufficient to meet its needs, including its ability to make distribution payments to the company. The unavailability of capital could adversely affect the Operating Partnership’s ability to pay its distributions to the company, which would in turn, adversely affect the company’s ability to pay cash dividends to its stockholders.</w:t>
      </w:r>
    </w:p>
    <w:p>
      <w:pPr>
        <w:spacing w:after="0" w:line="216"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Our short-term liquidity requirements consist primarily of funds to pay for future dividends expected to be paid to the company’s stockholders, operating expenses and other expenditures directly associated with our properties, interest expense and scheduled principal payments on outstanding indebtedness, general and administrative expenses, funding construction projects, capital expenditures, tenant improvements and leasing commissions.</w:t>
      </w:r>
    </w:p>
    <w:p>
      <w:pPr>
        <w:spacing w:after="0" w:line="20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seek to repurchase or redeem the Operating Partnership’s outstanding debt, the company’s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spacing w:after="0" w:line="203"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For the company to maintain its qualification as a REIT, it must pay dividends to its stockholders aggregating annually at least 90% of its REIT taxable income, excluding net capital gains. While historically the company has satisfied this distribution requirement by making cash distributions to American Assets Trust, Inc.'s stockholders, it may choose to satisfy this requirement by making distributions of cash or other property, including, in limited circumstances, the company’s own stock. As a result of this distribution requirement, the Operating Partnership cannot rely on retained earnings to fund its ongoing operations to the same extent that other companies whose parent companies are not REITs can. The company may need to continue to raise capital in the equity markets to fund the operating partnership’s working capital needs, acquisitions and developments. Although there is no intent at this time, if market conditions deteriorate, the company may also delay the timing of future development and redevelopment projects as well as limit future acquisitions, reduce the Operating Partnership’s operating expenditures, or re-evaluate its dividend policy.</w:t>
      </w:r>
    </w:p>
    <w:p>
      <w:pPr>
        <w:spacing w:after="0" w:line="2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is a well-known seasoned issuer. As circumstances warrant, the company may issue equity from time to time on an opportunistic basis, dependent upon market conditions and available pricing. When the company receives proceeds from preferred or common equity issuances, it is required by the Operating Partnership’s partnership agreement to contribute the proceeds from its equity issuances to the Operating Partnership in exchange for partnership units of the Operating Partnership. The Operating Partnership may use the proceeds to repay debt, to develop new or existing properties, to acquire properties or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363"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company, together with the Operating Partnership, filed a universal shelf registration statement on Form S-3ASR with the SEC, which became effective upon filing and which replaced the prior Form S-3ASR that was filed with the SEC in January 2021. The universal shelf registration statement may permit the company from time to time to offer and sell equity securities of the company. However, there can be no assurance that the company will be able to complete any such offerings of securities. Factors influencing the availability of additional financing include investor perception of our prospects and the general condition of the financial markets, among others.</w:t>
      </w:r>
    </w:p>
    <w:p>
      <w:pPr>
        <w:spacing w:after="0" w:line="12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December 3, 2021, the company entered into a new ATM equity program with five sales agents in which we may, from time to time, offer and sell shares of our common stock having an aggregate offering price of up to $250 million. The sales of shares of our common stock made through the ATM equity program, as amended, are made in “at-the-market” offerings as defined in Rule 415 of the Securities Act of 1933, as amended. We intend to use the net proceeds to fund development or redevelopment activities, repay amounts outstanding from time to time under our revolving line of credit or other debt financing obligations, fund potential acquisition opportunities and/or for general corporate purposes. Actual future sales will depend on a variety of factors including, but not limited to, market conditions, the trading price of our common stock and our capital needs. For the nine months ended September 30, 2026, no shares of common stock were sold through the ATM equity program. We have no obligation to sell the remaining shares available for sale under the ATM equity program.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of American Assets Trust, L.P.</w:t>
      </w:r>
    </w:p>
    <w:p>
      <w:pPr>
        <w:spacing w:after="0" w:line="256" w:lineRule="exact"/>
        <w:rPr>
          <w:sz w:val="20"/>
          <w:szCs w:val="20"/>
          <w:color w:val="auto"/>
        </w:rPr>
      </w:pPr>
    </w:p>
    <w:p>
      <w:pPr>
        <w:jc w:val="both"/>
        <w:ind w:right="220" w:firstLine="405"/>
        <w:spacing w:after="0" w:line="272" w:lineRule="auto"/>
        <w:rPr>
          <w:sz w:val="20"/>
          <w:szCs w:val="20"/>
          <w:color w:val="auto"/>
        </w:rPr>
      </w:pPr>
      <w:r>
        <w:rPr>
          <w:rFonts w:ascii="Times New Roman" w:cs="Times New Roman" w:eastAsia="Times New Roman" w:hAnsi="Times New Roman"/>
          <w:sz w:val="17"/>
          <w:szCs w:val="17"/>
          <w:color w:val="auto"/>
        </w:rPr>
        <w:t>In this “Liquidity and Capital Resources of American Assets Trust, L.P.” section, the terms “we,” “our” and “us” refer to the Operating Partnership together with its consolidated subsidiaries, or the Operating Partnership and American Assets Trust, Inc. together with their consolidated subsidiaries, as the context requires. American Assets Trust, Inc. is our sole general partner and consolidates our results of operations for financial reporting purposes.</w:t>
      </w:r>
    </w:p>
    <w:p>
      <w:pPr>
        <w:spacing w:after="0" w:line="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Because we operate on a consolidated basis with American Assets Trust, Inc., the section entitled “Liquidity and Capital Resources of American Assets Trust, Inc.” should be read in conjunction with this section to understand our liquidity and capital resources on a consolidated basis.</w:t>
      </w:r>
    </w:p>
    <w:p>
      <w:pPr>
        <w:spacing w:after="0" w:line="4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Due to the nature of our business, we typically generate significant amounts of cash from operations. The cash generated from operations is used for the payment of operating expenses, capital expenditures, debt service and dividends to American Assets Trust, Inc.'s stockholders and our unitholders. As a REIT, American Assets Trust, Inc. must generally make annual distributions to its stockholders of at least 90% of its net taxable income. As of September 30, 2026, we held $89.6 million in cash and cash equivalents.</w:t>
      </w:r>
    </w:p>
    <w:p>
      <w:pPr>
        <w:spacing w:after="0" w:line="12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Our short-term liquidity requirements consist primarily of operating expenses and other expenditures associated with our properties, regular debt service requirements, dividend payments to American Assets Trust, Inc.'s stockholders required to maintain its REIT status, distributions to our unitholders, capital expenditures and, potentially, acquisitions. We expect to meet our short-term liquidity requirements through net cash provided by operations, reserves established from existing cash and, if necessary, borrowings available under our credit facility.</w:t>
      </w:r>
    </w:p>
    <w:p>
      <w:pPr>
        <w:spacing w:after="0" w:line="12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long-term liquidity needs consist primarily of funds necessary to pay for the repayment of debt at maturity, property acquisitions, tenant improvements and capital improvements. We expect to meet our long-term liquidity requirements to pay scheduled debt maturities and to fund property acquisitions and capital improvements with net cash from operations, long-term secured and unsecured indebtedness and, if necessary, the issuance of equity and debt securities. We also may fund property acquisitions and capital improvements using our amended and restated credit facility pending permanent financing. We believe that we have access to multiple sources of capital to fund our long-term liquidity requirements, including the incurrence of additional debt and the issuance of additional equity. However, we cannot be assured that this will be the case. Our ability to incur additional debt will be dependent on a number of factors, including our degree of leverage, the value of our unencumbered assets and borrowing restrictions that may be imposed by lenders. Our ability to access the equity capital markets will be dependent on a number of factors as well, including general market conditions for REITs and market perceptions about our company.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overall capital requirements for the remainder of 2026 and for the nine months ending September 30, 2027 will depend upon acquisition opportunities and the level of improvements and redevelopments on existing properties. Our capital investments will be funded on a short-term basis with, among other sources of capital, cash on hand, cash flow from operations and/or our revolving line of credit. On a long-term basis, our capital investments may be funded with additional long-term debt, including, without limitation, mortgage debt and unsecured notes. Our ability to incur additional debt will be dependent on a number of factors, including, without limitation, our degree of leverage, the value of our unencumbered assets and borrowing restrictions that may be imposed by lenders. Our capital investments may also be funded by issuing additional equity including, without limitation, shares issued by American Assets Trust, Inc. under its ATM equity program or through an underwritten public offering. Although there is no intent at this time, if market conditions deteriorate or fail to improve, we may also delay the timing of future development and redevelopment projects as well as limit future acquisitions, reduce our operating expenditures, or re-evaluate our dividend policy.</w:t>
      </w:r>
    </w:p>
    <w:p>
      <w:pPr>
        <w:spacing w:after="0" w:line="13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Operating Partnership, together with American Assets Trust, Inc., filed a universal shelf registration statement on Form S-3ASR with the SEC, which became effective upon filing and which replaced the prior Form S-3ASR that was filed with the SEC in January 2021. The universal shelf registration statement may permit the company from time to time to offer and sell equity securities of the company. However, there can be no assurance that the company will be able to complete any such offerings of securities. Factors influencing the availability of additional financing include investor perception of our prospects and the general condition of the financial markets, among others.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do not have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to the nine months ended September 30, 2025</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 were $89.6 million and $138.7 million at September 30, 2026 and 2025, respectively.</w:t>
      </w:r>
    </w:p>
    <w:p>
      <w:pPr>
        <w:spacing w:after="0" w:line="17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$3.3 million to $129.8 million for the nine months ended September 30, 2026 compared to $126.5 million for the nine months ended September 30, 2025. The increase in cash from operations was primarily due to an increase in rental revenue and changes in operating assets and liabilities.</w:t>
      </w:r>
    </w:p>
    <w:p>
      <w:pPr>
        <w:spacing w:after="0" w:line="12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increased $76.1 million to $85.7 million for the nine months ended September 30, 2026 compared to cash used in investing activities of $9.6 million for the nine months ended September 30, 2025. The increase in cash used in investing activities was primarily due to an increase in capital expenditures related to new tenant improvement projects, leasing commissions and building renovation and repositioning capital projects. The cash used in investing activities during 2025 was primarily due to the use of cash for the acquisition of Genesee Park, tenant improvement projects, leasing commissions and capital projects, offset by the proceeds from the sale of Del Monte Center.</w:t>
      </w:r>
    </w:p>
    <w:p>
      <w:pPr>
        <w:spacing w:after="0" w:line="129"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decreased $320.0 million to $83.9 million for the nine months ended September 30, 2026 compared to $403.9 million for the nine months ended September 30, 2025. The decrease in cash used in financing activities was primarily due to the repayment of the $225 million aggregate outstanding balance on our Term Loan B and Term Loan C on January 2, 2025 and the repayment of the $100 million outstanding balance on our Series C Notes, on February 3, 2025. This was partially offset by an increase in debt issuance costs related to the Fourth Amended and Restated Credit Facility entered into on April 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p>
      <w:pPr>
        <w:spacing w:after="0" w:line="175"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Net Operating Income (“NOI”), is a non-GAAP financial measure of performance. We define NOI as operating revenues (rental income, tenant reimbursements, lease termination fees, ground lease rental income and other property income) less property and related expenses (property expenses, ground lease expense, property marketing costs, real estate taxes and insurance). NOI excludes general and administrative expenses, interest expense, depreciation and amortization, acquisition-related expense, other non-property income and losses, gains and losses from property dispositions, extraordinary items, tenant improvements, and leasing commissions. Other REITs may use different methodologies for calculating NOI, and accordingly, our NOI may not be comparable to the NOIs of other REITs.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20" w:firstLine="445"/>
        <w:spacing w:after="0" w:line="257" w:lineRule="auto"/>
        <w:rPr>
          <w:sz w:val="20"/>
          <w:szCs w:val="20"/>
          <w:color w:val="auto"/>
        </w:rPr>
      </w:pPr>
      <w:r>
        <w:rPr>
          <w:rFonts w:ascii="Times New Roman" w:cs="Times New Roman" w:eastAsia="Times New Roman" w:hAnsi="Times New Roman"/>
          <w:sz w:val="18"/>
          <w:szCs w:val="18"/>
          <w:color w:val="auto"/>
        </w:rPr>
        <w:t>NOI is used by investors and our management to evaluate and compare the performance of our properties and to determine trends in earnings and to compute the fair value of our properties as it is not affected by (1) the cost of funds of the property owner, (2) the impact of depreciation and amortization expenses as well as gains or losses from the sale of operating real estate assets that are included in net income computed in accordance with GAAP or</w:t>
      </w:r>
    </w:p>
    <w:p>
      <w:pPr>
        <w:spacing w:after="0" w:line="1" w:lineRule="exact"/>
        <w:rPr>
          <w:sz w:val="20"/>
          <w:szCs w:val="20"/>
          <w:color w:val="auto"/>
        </w:rPr>
      </w:pPr>
    </w:p>
    <w:p>
      <w:pPr>
        <w:ind w:right="80" w:firstLine="8"/>
        <w:spacing w:after="0" w:line="251"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other gains and losses that are specific to the property owner. The cost of funds is eliminated from net income because it is specific to the particular financing capabilities and constraints of the owner. The cost of funds is also eliminated because it is dependent on historical interest rates and other costs of capital as well as past decisions made by us regarding the appropriate mix of capital, which may have changed or may change in the future. Depreciation and amortization expenses as well as gains or losses from the sale of operating real estate assets are eliminated because they may not accurately represent the actual change in value in our retail, office, multifamily or mixed-use properties that result from use of the properties or changes in market conditions. While certain aspects of real property do decline in value over time in a manner that is intended to be captured by depreciation and amortization, the value of the properties as a whole have historically increased or decreased as a result of changes in overall economic conditions instead of from actual use of the property or the passage of time. Gains and losses from the sale of real property vary from property to property and are affected by market conditions at the time of sale, which will usually change from period to period. These gains and losses can create distortions when comparing one period to another or when comparing our operating results to the operating results of other real estate companies that have not made similarly timed purchases or sales. We believe that eliminating these costs from net income is useful because the resulting measure captures the actual revenue generated and actual expenses incurred in operating our properties as well as trends in occupancy rates, rental rates and operating costs.</w:t>
      </w:r>
    </w:p>
    <w:p>
      <w:pPr>
        <w:spacing w:after="0" w:line="138" w:lineRule="exact"/>
        <w:rPr>
          <w:sz w:val="20"/>
          <w:szCs w:val="20"/>
          <w:color w:val="auto"/>
        </w:rPr>
      </w:pPr>
    </w:p>
    <w:p>
      <w:pPr>
        <w:jc w:val="both"/>
        <w:ind w:right="40" w:firstLine="445"/>
        <w:spacing w:after="0" w:line="261" w:lineRule="auto"/>
        <w:rPr>
          <w:sz w:val="20"/>
          <w:szCs w:val="20"/>
          <w:color w:val="auto"/>
        </w:rPr>
      </w:pPr>
      <w:r>
        <w:rPr>
          <w:rFonts w:ascii="Times New Roman" w:cs="Times New Roman" w:eastAsia="Times New Roman" w:hAnsi="Times New Roman"/>
          <w:sz w:val="18"/>
          <w:szCs w:val="18"/>
          <w:color w:val="auto"/>
        </w:rPr>
        <w:t>However, the usefulness of NOI is limited because it excludes general and administrative costs, interest expense, interest income and other expense, depreciation and amortization expense and gains or losses from the sale of properties, and other gains and losses as stipulated by GAAP, the level of capital expenditures and leasing costs necessary to maintain the operating performance of our properties, all of which are significant economic costs. NOI may fail to capture significant trends in these components of net income, which further limits its usefulness.</w:t>
      </w:r>
    </w:p>
    <w:p>
      <w:pPr>
        <w:spacing w:after="0" w:line="126"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NOI is a measure of the operating performance of our properties but does not measure our performance as a whole. NOI is therefore not a substitute for net income as computed in accordance with GAAP. This measure should be analyzed in conjunction with net income computed in accordance with GAAP and discussions elsewhere in “Management's Discussion and Analysis of Financial Condition and Results of Operations” regarding the components of net income that are eliminated in the calculation of NOI. Other companies may use different methods for calculating NOI or similarly entitled measures and, accordingly, our NOI may not be comparable to similarly entitled measures reported by other companies that do not define the measure exactly as we do.</w:t>
      </w:r>
    </w:p>
    <w:p>
      <w:pPr>
        <w:spacing w:after="0" w:line="133" w:lineRule="exact"/>
        <w:rPr>
          <w:sz w:val="20"/>
          <w:szCs w:val="20"/>
          <w:color w:val="auto"/>
        </w:rPr>
      </w:pPr>
    </w:p>
    <w:p>
      <w:pPr>
        <w:ind w:right="80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NOI to net income for the three and nine months ended September 30, 2026 and 2025 computed in accordance with GAAP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201,193</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(58,337)</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w:t>
            </w:r>
          </w:p>
        </w:tc>
      </w:tr>
      <w:tr>
        <w:trPr>
          <w:trHeight w:val="24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r>
      <w:tr>
        <w:trPr>
          <w:trHeight w:val="26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calculate funds from operations (“FFO”), in accordance with the standards established by the National Association of Real Estate Investment Trusts (“NAREIT”). FFO represents net income (computed in accordance with GAAP), excluding gains (or losses) from sales of depreciable operating property, impairment losses, real-estate related depreciation and amortization (excluding amortization of deferred financing costs) and after adjustments for unconsolidated partnerships and joint ventures.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FFO is a supplemental non-GAAP financial measure. Management uses FFO as a supplemental performance measure because it believes that FFO is beneficial to investors as a starting point in measuring our operational performance. Specifically, in excluding real-estate related depreciation and amortization and gains and losses from property dispositions, which do not relate to or are not indicative of operating performance, FFO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properties that result from use or market conditions nor the level of capital expenditures and leasing commissions necessary to maintain the operating performance of our properties, all of which have real economic effects and could materially impact our results from operations, the utility of FFO as a measure of our performance is limited. In addition, other equity REITs may not calculate FFO in accordance with the NAREIT definition as we do, and, accordingly, our FFO may not be comparable to such other REITs' FFO. Accordingly, FFO should be considered only as a supplement to net income as a measure of our performance. FFO should not be used as a measure of our liquidity, nor is it indicative of funds available to fund our cash needs, including our ability to pay dividends or service indebtedness. FFO also should not be used as a supplement to or substitute for cash flow from operating activities computed in accordance with GAAP.</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 reconciliation of our net income, the nearest GAAP equivalent, to FFO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(in thousands, except per share and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(FFO)</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67,149</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Depreciation and amortization of real estate assets</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Gain on sale of real estate</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0" w:type="dxa"/>
            <w:vAlign w:val="bottom"/>
          </w:tcPr>
          <w:p>
            <w:pPr>
              <w:spacing w:after="0"/>
              <w:rPr>
                <w:sz w:val="1"/>
                <w:szCs w:val="1"/>
                <w:color w:val="auto"/>
              </w:rPr>
            </w:pPr>
          </w:p>
        </w:tc>
      </w:tr>
      <w:tr>
        <w:trPr>
          <w:trHeight w:val="237"/>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22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43,047</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37,935</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121,599</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117,963</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Nonforfeitable dividends on restricted stock awards</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6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attributable to common stock and units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FFO per diluted share/unit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240" w:type="dxa"/>
            <w:vAlign w:val="bottom"/>
            <w:tcBorders>
              <w:bottom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Weighted average number of common shares and units, diluted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76,912,958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76,732,590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76,899,707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76,729,280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right="20" w:hanging="332"/>
        <w:spacing w:after="0" w:line="27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common shares used to compute FFO per diluted share include unvested restricted stock awards that are subject to time vesting, which were excluded from the computation of diluted EPS, as the vesting of the restricted stock awards is dilutive in the computation of FFO per diluted share but is anti-dilutive for the computation of diluted EPS for the period. Diluted shares exclude incentive restricted stock as these awards are considered contingently issuable.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Our future income, cash flows and fair values relevant to financial instruments are dependent upon prevalent market interest rates. Market risk refers to the risk of loss from adverse changes in market prices and interest rates. We manage our market risk by attempting to match anticipated inflow of cash from our operating, investing and financing activities with anticipated outflow of cash to fund debt payments, dividends to our stockholders and Operating Partnership unitholders, investments, capital expenditures and other cash requirements.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Debt</w:t>
      </w:r>
    </w:p>
    <w:p>
      <w:pPr>
        <w:spacing w:after="0" w:line="17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the fair value of our total outstanding debt. Interest rate risk amounts were determined by considering the impact of hypothetical interest rates on our debt. Discounted cash flow analysis is generally used to estimate the fair value of our mortgages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outstanding notes payable obligations (maturing at various times through October 2034) have fixed interest rates which limit the risk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fluctuating interest rates. However, interest rate fluctuations may affect the fair value of our fixed rate debt instruments. At September 30, 2026, we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billion of fixed rate debt outstanding with an estimated fair value of $1.5 billion. If interest rates at September 30, 2026 had been 1.0% higher, the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those debt instruments on that date would have decreased by approximately $43.7 million. If interest rates at September 30, 2026 had been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 the fair value of those debt instruments on that date would have increased by approximately $65.8 million. The carrying values of our revolving 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credit and term loan approximate fair value since the interest rates are variable and reset frequently based on SOFR.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17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At September 30, 2026, we had variable debt of $100.0 million related to Term Loan A outstanding which is effectively fixed by interest rate swap agreements through January 5, 2027, subject to adjustments based on our consolidated leverage ratio. After January 5, 2027, interest is accrued at a variable rate based on the applicable SOFR plus a spread which ranges from 1.20%-1.70% based on our consolidated leverage ratio. Based upon this amount of variable rate debt, if market interest rates increased or decreased by 1.0%, our annual interest expense would increase or decrease, respectively, by approximately $0.8 million. We have historically entered into forward starting interest rate swaps in order to economically hedge against the risk of rising interest rates that would affect our interest expense related to our future anticipated debt issuances as part of its overall borrowing program. See the discussion under Note 4 of the Notes to Consolidated Financial Statements included elsewhere herein for certain quantitative details related to the interest rate swaps and for a discussion on how we value derivative financial instruments.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(American Assets Trust, Inc.)</w:t>
      </w:r>
    </w:p>
    <w:p>
      <w:pPr>
        <w:spacing w:after="0" w:line="175" w:lineRule="exact"/>
        <w:rPr>
          <w:sz w:val="20"/>
          <w:szCs w:val="20"/>
          <w:color w:val="auto"/>
        </w:rPr>
      </w:pPr>
    </w:p>
    <w:p>
      <w:pPr>
        <w:ind w:right="220" w:firstLine="445"/>
        <w:spacing w:after="0" w:line="273" w:lineRule="auto"/>
        <w:rPr>
          <w:sz w:val="20"/>
          <w:szCs w:val="20"/>
          <w:color w:val="auto"/>
        </w:rPr>
      </w:pPr>
      <w:r>
        <w:rPr>
          <w:rFonts w:ascii="Times New Roman" w:cs="Times New Roman" w:eastAsia="Times New Roman" w:hAnsi="Times New Roman"/>
          <w:sz w:val="17"/>
          <w:szCs w:val="17"/>
          <w:color w:val="auto"/>
        </w:rPr>
        <w:t>American Assets Trust, Inc. maintains disclosure controls and procedures (as such term is defined in Rule 13a-15(e) and 15d-15(e) under the Exchange Act) that are designed to ensure that information required to be disclosed in American Assets Trust, Inc.'s reports under the Exchange Act is processed, recorded, summarized and reported within the time periods specified in the rules and regulations of the SEC and that such information is accumulated and communicated to management, including American Assets Trust, Inc.'s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17"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American Assets Trust, Inc. has carried out an evaluation, under the supervision and with the participation of management, including American Assets Trust, Inc.'s Chief Executive Officer and Chief Financial Officer, regarding the effectiveness of its disclosure controls and procedures as of September 30, 2026, the end of the period covered by this report. Based on the foregoing, its Chief Executive Officer and Chief Financial Officer have concluded, as of September 30, 2026, that American Assets Trust, Inc.'s disclosure controls and procedures were effective in ensuring that information required to be disclosed by it in reports filed or submitted under the Exchange Act (1) is processed, recorded, summarized and reported within the time periods specified in the SEC’s rules and forms and (2) is accumulated and communicated to its management, including American Assets Trust, Inc.'s Chief Executive Officer and its Chief Financial Officer, as appropriate to allow for timely decisions regarding required disclosure.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300" w:firstLine="445"/>
        <w:spacing w:after="0" w:line="266" w:lineRule="auto"/>
        <w:rPr>
          <w:sz w:val="20"/>
          <w:szCs w:val="20"/>
          <w:color w:val="auto"/>
        </w:rPr>
      </w:pPr>
      <w:r>
        <w:rPr>
          <w:rFonts w:ascii="Times New Roman" w:cs="Times New Roman" w:eastAsia="Times New Roman" w:hAnsi="Times New Roman"/>
          <w:sz w:val="18"/>
          <w:szCs w:val="18"/>
          <w:color w:val="auto"/>
        </w:rPr>
        <w:t>No changes to American Assets Trust, Inc.'s internal control over financial reporting were identified in connection with the evaluation referenced above that occurred during the period covered by this report that have materially affected, or are reasonably likely to materially affect, American Assets Trust, Inc.'s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(American Assets Trust, L.P.)</w:t>
      </w:r>
    </w:p>
    <w:p>
      <w:pPr>
        <w:spacing w:after="0" w:line="175"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The Operating Partnership maintains disclosure controls and procedures (as such term is defined in Rule 13a-15(e) and 15d-15(e) under the Exchange Act) that are designed to ensure that information required to be disclosed in its reports under the Exchange Act is processed, recorded, summarized and reported within the time periods specified in the rules and regulations of the SEC and that such information is accumulated and communicated to management, including the Operating Partnership's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Operating Partnership has carried out an evaluation, under the supervision and with the participation of management, including its Chief Executive Officer and Chief Financial Officer, regarding the effectiveness of its disclosure controls and procedures as of September 30, 2026, the end of the period covered by this report. Based on the foregoing, its Chief Executive Officer and Chief Financial Officer have concluded, as of September 30, 2026, that the Operating Partnership's disclosure controls and procedures were effective in ensuring that information required to be disclosed by it in reports filed or submitted under the Exchange Act (1) is processed, recorded, summarized and reported within the time periods specified in the SEC’s rules and forms and (2) is accumulated and communicated to its management, including its Chief Executive Officer and Chief Financial Officer, as appropriate to allow for timely decisions regarding required disclosure.</w:t>
      </w:r>
    </w:p>
    <w:p>
      <w:pPr>
        <w:spacing w:after="0" w:line="135"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No changes to the Operating Partnership's internal control over financial reporting were identified in connection with the evaluation referenced above that occurred during the period covered by this report that have materially affected, or are reasonably likely to materially affect, the Operating Partnership's internal control over financial reporting.</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are not currently a party, as plaintiff or defendant, to any legal proceedings that we believe to be material or which, individually or in the aggregate, would be expected to have a material effect on our business, financial condition or results of operation if determined adversely to us. We may be subject to on-going litigation, relating to our portfolio and the properties comprising our portfolio, and we expect to otherwise be party from time to time to various lawsuits, claims and other legal proceedings that arise in the ordinary course of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Item 1A. “Risk Factors” in our annual report on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 of American Assets Trust, Inc.</w:t>
            </w:r>
          </w:p>
        </w:tc>
        <w:tc>
          <w:tcPr>
            <w:tcW w:w="560" w:type="dxa"/>
            <w:vAlign w:val="bottom"/>
            <w:gridSpan w:val="2"/>
          </w:tcPr>
          <w:p>
            <w:pPr>
              <w:spacing w:after="0"/>
              <w:rPr>
                <w:sz w:val="24"/>
                <w:szCs w:val="24"/>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 of American Assets Trust, L.P.</w:t>
            </w: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9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of American Assets Trust, Inc.</w:t>
            </w:r>
          </w:p>
        </w:tc>
        <w:tc>
          <w:tcPr>
            <w:tcW w:w="560" w:type="dxa"/>
            <w:vAlign w:val="bottom"/>
            <w:gridSpan w:val="2"/>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9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 of American Assets Trust, L.P.</w:t>
            </w:r>
          </w:p>
        </w:tc>
        <w:tc>
          <w:tcPr>
            <w:tcW w:w="600" w:type="dxa"/>
            <w:vAlign w:val="bottom"/>
            <w:gridSpan w:val="3"/>
          </w:tcPr>
          <w:p>
            <w:pPr>
              <w:spacing w:after="0"/>
              <w:rPr>
                <w:sz w:val="19"/>
                <w:szCs w:val="19"/>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and Chief Financial Officer of American Assets Trust, Inc. pursuant to 18 U.S.C. Section 1350, as</w:t>
            </w:r>
          </w:p>
        </w:tc>
      </w:tr>
      <w:tr>
        <w:trPr>
          <w:trHeight w:val="156"/>
        </w:trPr>
        <w:tc>
          <w:tcPr>
            <w:tcW w:w="1200" w:type="dxa"/>
            <w:vAlign w:val="bottom"/>
          </w:tcPr>
          <w:p>
            <w:pPr>
              <w:spacing w:after="0"/>
              <w:rPr>
                <w:sz w:val="13"/>
                <w:szCs w:val="13"/>
                <w:color w:val="auto"/>
              </w:rPr>
            </w:pPr>
          </w:p>
        </w:tc>
        <w:tc>
          <w:tcPr>
            <w:tcW w:w="998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20"/>
          </w:cols>
          <w:pgMar w:left="320" w:top="121" w:right="3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 Officer of American Assets Trust, L.P. pursuant to 18 U.S.C. Section 1350, as adopted pursuant to Section 906 of the Sarbanes-Oxley Act of 2002</w:t>
      </w:r>
    </w:p>
    <w:p>
      <w:pPr>
        <w:spacing w:after="0" w:line="118"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 the Inline XBRL document.</w:t>
      </w:r>
    </w:p>
    <w:p>
      <w:pPr>
        <w:spacing w:after="0" w:line="104" w:lineRule="exact"/>
        <w:rPr>
          <w:sz w:val="20"/>
          <w:szCs w:val="20"/>
          <w:color w:val="auto"/>
        </w:rPr>
      </w:pPr>
    </w:p>
    <w:p>
      <w:pPr>
        <w:sectPr>
          <w:pgSz w:w="11900" w:h="16838" w:orient="portrait"/>
          <w:cols w:equalWidth="0" w:num="2">
            <w:col w:w="720" w:space="500"/>
            <w:col w:w="10000"/>
          </w:cols>
          <w:pgMar w:left="320" w:top="121" w:right="359" w:bottom="1440" w:gutter="0" w:footer="0" w:header="0"/>
          <w:type w:val="continuous"/>
        </w:sect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3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3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3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3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36" w:lineRule="exact"/>
        <w:rPr>
          <w:sz w:val="20"/>
          <w:szCs w:val="20"/>
          <w:color w:val="auto"/>
        </w:rPr>
      </w:pPr>
    </w:p>
    <w:p>
      <w:pPr>
        <w:ind w:right="3460" w:firstLine="26"/>
        <w:spacing w:after="0" w:line="704" w:lineRule="auto"/>
        <w:tabs>
          <w:tab w:leader="none" w:pos="121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Contents</w:t>
      </w:r>
    </w:p>
    <w:p>
      <w:pPr>
        <w:spacing w:after="0" w:line="200" w:lineRule="exact"/>
        <w:rPr>
          <w:sz w:val="20"/>
          <w:szCs w:val="20"/>
          <w:color w:val="auto"/>
        </w:rPr>
      </w:pPr>
    </w:p>
    <w:p>
      <w:pPr>
        <w:spacing w:after="0" w:line="3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authorized.</w:t>
      </w:r>
    </w:p>
    <w:p>
      <w:pPr>
        <w:spacing w:after="0" w:line="1" w:lineRule="exact"/>
        <w:rPr>
          <w:sz w:val="20"/>
          <w:szCs w:val="20"/>
          <w:color w:val="auto"/>
        </w:rPr>
      </w:pPr>
    </w:p>
    <w:p>
      <w:pPr>
        <w:ind w:left="20"/>
        <w:spacing w:after="0"/>
        <w:tabs>
          <w:tab w:leader="none" w:pos="5780" w:val="left"/>
        </w:tabs>
        <w:rPr>
          <w:sz w:val="20"/>
          <w:szCs w:val="20"/>
          <w:color w:val="auto"/>
        </w:rPr>
      </w:pPr>
      <w:r>
        <w:rPr>
          <w:rFonts w:ascii="Times New Roman" w:cs="Times New Roman" w:eastAsia="Times New Roman" w:hAnsi="Times New Roman"/>
          <w:sz w:val="18"/>
          <w:szCs w:val="18"/>
          <w:color w:val="auto"/>
        </w:rPr>
        <w:t>American Assets Trust, Inc.</w:t>
      </w:r>
      <w:r>
        <w:rPr>
          <w:sz w:val="20"/>
          <w:szCs w:val="20"/>
          <w:color w:val="auto"/>
        </w:rPr>
        <w:tab/>
      </w:r>
      <w:r>
        <w:rPr>
          <w:rFonts w:ascii="Times New Roman" w:cs="Times New Roman" w:eastAsia="Times New Roman" w:hAnsi="Times New Roman"/>
          <w:sz w:val="17"/>
          <w:szCs w:val="17"/>
          <w:color w:val="auto"/>
        </w:rPr>
        <w:t>American Assets Trust, L.P.</w:t>
      </w:r>
    </w:p>
    <w:p>
      <w:pPr>
        <w:spacing w:after="0" w:line="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American Assets Trust, Inc.</w:t>
      </w:r>
    </w:p>
    <w:p>
      <w:pPr>
        <w:spacing w:after="0" w:line="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General Partner</w:t>
      </w:r>
    </w:p>
    <w:p>
      <w:pPr>
        <w:sectPr>
          <w:pgSz w:w="11900" w:h="16838" w:orient="portrait"/>
          <w:cols w:equalWidth="0" w:num="1">
            <w:col w:w="10340"/>
          </w:cols>
          <w:pgMar w:left="320" w:top="121" w:right="12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ADAM WYLL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461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Adam Wyll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461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F. Barton</w:t>
      </w:r>
    </w:p>
    <w:p>
      <w:pPr>
        <w:spacing w:after="0" w:line="36" w:lineRule="exact"/>
        <w:rPr>
          <w:sz w:val="20"/>
          <w:szCs w:val="20"/>
          <w:color w:val="auto"/>
        </w:rPr>
      </w:pPr>
    </w:p>
    <w:p>
      <w:pPr>
        <w:ind w:left="20" w:right="2040"/>
        <w:spacing w:after="0" w:line="237" w:lineRule="auto"/>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w:t>
      </w:r>
    </w:p>
    <w:p>
      <w:pPr>
        <w:ind w:left="2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ADAM WYLL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3454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Wyll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3454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F. Barton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Chief Financial</w:t>
      </w: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w:t>
      </w: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ectPr>
          <w:pgSz w:w="11900" w:h="16838" w:orient="portrait"/>
          <w:cols w:equalWidth="0" w:num="2">
            <w:col w:w="5080" w:space="720"/>
            <w:col w:w="4540"/>
          </w:cols>
          <w:pgMar w:left="320" w:top="121" w:right="1239" w:bottom="1440" w:gutter="0" w:footer="0" w:header="0"/>
          <w:type w:val="continuous"/>
        </w:sectPr>
      </w:pPr>
    </w:p>
    <w:p>
      <w:pPr>
        <w:spacing w:after="0" w:line="86" w:lineRule="exact"/>
        <w:rPr>
          <w:sz w:val="20"/>
          <w:szCs w:val="20"/>
          <w:color w:val="auto"/>
        </w:rPr>
      </w:pPr>
    </w:p>
    <w:p>
      <w:pPr>
        <w:ind w:left="20"/>
        <w:spacing w:after="0"/>
        <w:tabs>
          <w:tab w:leader="none" w:pos="600" w:val="left"/>
          <w:tab w:leader="none" w:pos="5780" w:val="left"/>
          <w:tab w:leader="none" w:pos="6380" w:val="left"/>
        </w:tabs>
        <w:rPr>
          <w:sz w:val="20"/>
          <w:szCs w:val="20"/>
          <w:color w:val="auto"/>
        </w:rPr>
      </w:pPr>
      <w:r>
        <w:rPr>
          <w:rFonts w:ascii="Times New Roman" w:cs="Times New Roman" w:eastAsia="Times New Roman" w:hAnsi="Times New Roman"/>
          <w:sz w:val="18"/>
          <w:szCs w:val="18"/>
          <w:color w:val="auto"/>
        </w:rPr>
        <w:t>Date:</w:t>
        <w:tab/>
        <w:t>October 30, 2026</w:t>
      </w:r>
      <w:r>
        <w:rPr>
          <w:sz w:val="20"/>
          <w:szCs w:val="20"/>
          <w:color w:val="auto"/>
        </w:rPr>
        <w:tab/>
      </w:r>
      <w:r>
        <w:rPr>
          <w:rFonts w:ascii="Times New Roman" w:cs="Times New Roman" w:eastAsia="Times New Roman" w:hAnsi="Times New Roman"/>
          <w:sz w:val="18"/>
          <w:szCs w:val="18"/>
          <w:color w:val="auto"/>
        </w:rPr>
        <w:t>Date:</w:t>
        <w:tab/>
        <w:t>October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340"/>
          </w:cols>
          <w:pgMar w:left="320" w:top="121" w:right="123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Wyll, certify that:</w:t>
      </w:r>
    </w:p>
    <w:p>
      <w:pPr>
        <w:spacing w:after="0" w:line="117" w:lineRule="exact"/>
        <w:rPr>
          <w:sz w:val="20"/>
          <w:szCs w:val="20"/>
          <w:color w:val="auto"/>
        </w:rPr>
      </w:pPr>
    </w:p>
    <w:p>
      <w:pPr>
        <w:ind w:left="760" w:hanging="307"/>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Assets Trust, Inc.;</w:t>
      </w:r>
    </w:p>
    <w:p>
      <w:pPr>
        <w:spacing w:after="0" w:line="11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60" w:right="240" w:hanging="407"/>
        <w:spacing w:after="0" w:line="282" w:lineRule="auto"/>
        <w:tabs>
          <w:tab w:leader="none" w:pos="7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860" w:right="220" w:hanging="407"/>
        <w:spacing w:after="0" w:line="276" w:lineRule="auto"/>
        <w:tabs>
          <w:tab w:leader="none" w:pos="76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300" w:right="120" w:hanging="401"/>
        <w:spacing w:after="0" w:line="266" w:lineRule="auto"/>
        <w:tabs>
          <w:tab w:leader="none" w:pos="127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401"/>
        <w:spacing w:after="0" w:line="312" w:lineRule="auto"/>
        <w:tabs>
          <w:tab w:leader="none" w:pos="127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401"/>
        <w:spacing w:after="0" w:line="266" w:lineRule="auto"/>
        <w:tabs>
          <w:tab w:leader="none" w:pos="128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860" w:right="180" w:hanging="407"/>
        <w:spacing w:after="0" w:line="282" w:lineRule="auto"/>
        <w:tabs>
          <w:tab w:leader="none" w:pos="7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80" w:hanging="401"/>
        <w:spacing w:after="0" w:line="282" w:lineRule="auto"/>
        <w:tabs>
          <w:tab w:leader="none" w:pos="127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60"/>
        <w:spacing w:after="0"/>
        <w:tabs>
          <w:tab w:leader="none" w:pos="620" w:val="left"/>
          <w:tab w:leader="none" w:pos="4560" w:val="left"/>
        </w:tabs>
        <w:rPr>
          <w:sz w:val="20"/>
          <w:szCs w:val="20"/>
          <w:color w:val="auto"/>
        </w:rPr>
      </w:pPr>
      <w:r>
        <w:rPr>
          <w:rFonts w:ascii="Times New Roman" w:cs="Times New Roman" w:eastAsia="Times New Roman" w:hAnsi="Times New Roman"/>
          <w:sz w:val="18"/>
          <w:szCs w:val="18"/>
          <w:color w:val="auto"/>
        </w:rPr>
        <w:t>Date:</w:t>
        <w:tab/>
        <w:t>October 30, 2026</w:t>
      </w:r>
      <w:r>
        <w:rPr>
          <w:sz w:val="20"/>
          <w:szCs w:val="20"/>
          <w:color w:val="auto"/>
        </w:rPr>
        <w:tab/>
      </w:r>
      <w:r>
        <w:rPr>
          <w:rFonts w:ascii="Times New Roman" w:cs="Times New Roman" w:eastAsia="Times New Roman" w:hAnsi="Times New Roman"/>
          <w:sz w:val="18"/>
          <w:szCs w:val="18"/>
          <w:color w:val="auto"/>
        </w:rPr>
        <w:t>/s/ ADAM WYLL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176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Adam Wyll</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Wyll, certify that:</w:t>
      </w:r>
    </w:p>
    <w:p>
      <w:pPr>
        <w:spacing w:after="0" w:line="117" w:lineRule="exact"/>
        <w:rPr>
          <w:sz w:val="20"/>
          <w:szCs w:val="20"/>
          <w:color w:val="auto"/>
        </w:rPr>
      </w:pPr>
    </w:p>
    <w:p>
      <w:pPr>
        <w:ind w:left="760" w:hanging="307"/>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Assets Trust, L.P.;</w:t>
      </w:r>
    </w:p>
    <w:p>
      <w:pPr>
        <w:spacing w:after="0" w:line="11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60" w:right="240" w:hanging="407"/>
        <w:spacing w:after="0" w:line="282" w:lineRule="auto"/>
        <w:tabs>
          <w:tab w:leader="none" w:pos="7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860" w:right="220" w:hanging="407"/>
        <w:spacing w:after="0" w:line="276" w:lineRule="auto"/>
        <w:tabs>
          <w:tab w:leader="none" w:pos="76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300" w:right="120" w:hanging="401"/>
        <w:spacing w:after="0" w:line="266" w:lineRule="auto"/>
        <w:tabs>
          <w:tab w:leader="none" w:pos="12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401"/>
        <w:spacing w:after="0" w:line="312" w:lineRule="auto"/>
        <w:tabs>
          <w:tab w:leader="none" w:pos="127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401"/>
        <w:spacing w:after="0" w:line="266" w:lineRule="auto"/>
        <w:tabs>
          <w:tab w:leader="none" w:pos="128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860" w:right="180" w:hanging="407"/>
        <w:spacing w:after="0" w:line="282" w:lineRule="auto"/>
        <w:tabs>
          <w:tab w:leader="none" w:pos="7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80" w:hanging="401"/>
        <w:spacing w:after="0" w:line="282" w:lineRule="auto"/>
        <w:tabs>
          <w:tab w:leader="none" w:pos="12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60"/>
        <w:spacing w:after="0"/>
        <w:tabs>
          <w:tab w:leader="none" w:pos="620" w:val="left"/>
          <w:tab w:leader="none" w:pos="4560" w:val="left"/>
        </w:tabs>
        <w:rPr>
          <w:sz w:val="20"/>
          <w:szCs w:val="20"/>
          <w:color w:val="auto"/>
        </w:rPr>
      </w:pPr>
      <w:r>
        <w:rPr>
          <w:rFonts w:ascii="Times New Roman" w:cs="Times New Roman" w:eastAsia="Times New Roman" w:hAnsi="Times New Roman"/>
          <w:sz w:val="18"/>
          <w:szCs w:val="18"/>
          <w:color w:val="auto"/>
        </w:rPr>
        <w:t>Date:</w:t>
        <w:tab/>
        <w:t>October 30, 2026</w:t>
      </w:r>
      <w:r>
        <w:rPr>
          <w:sz w:val="20"/>
          <w:szCs w:val="20"/>
          <w:color w:val="auto"/>
        </w:rPr>
        <w:tab/>
      </w:r>
      <w:r>
        <w:rPr>
          <w:rFonts w:ascii="Times New Roman" w:cs="Times New Roman" w:eastAsia="Times New Roman" w:hAnsi="Times New Roman"/>
          <w:sz w:val="18"/>
          <w:szCs w:val="18"/>
          <w:color w:val="auto"/>
        </w:rPr>
        <w:t>/s/ ADAM WYLL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176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Adam Wyll</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F. Barton, certify that:</w:t>
      </w:r>
    </w:p>
    <w:p>
      <w:pPr>
        <w:spacing w:after="0" w:line="117" w:lineRule="exact"/>
        <w:rPr>
          <w:sz w:val="20"/>
          <w:szCs w:val="20"/>
          <w:color w:val="auto"/>
        </w:rPr>
      </w:pPr>
    </w:p>
    <w:p>
      <w:pPr>
        <w:ind w:left="760" w:hanging="307"/>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Assets Trust, Inc.;</w:t>
      </w:r>
    </w:p>
    <w:p>
      <w:pPr>
        <w:spacing w:after="0" w:line="11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60" w:right="240" w:hanging="407"/>
        <w:spacing w:after="0" w:line="282" w:lineRule="auto"/>
        <w:tabs>
          <w:tab w:leader="none" w:pos="7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860" w:right="220" w:hanging="407"/>
        <w:spacing w:after="0" w:line="276" w:lineRule="auto"/>
        <w:tabs>
          <w:tab w:leader="none" w:pos="76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300" w:right="120" w:hanging="401"/>
        <w:spacing w:after="0" w:line="266" w:lineRule="auto"/>
        <w:tabs>
          <w:tab w:leader="none" w:pos="12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401"/>
        <w:spacing w:after="0" w:line="312" w:lineRule="auto"/>
        <w:tabs>
          <w:tab w:leader="none" w:pos="1275"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401"/>
        <w:spacing w:after="0" w:line="266" w:lineRule="auto"/>
        <w:tabs>
          <w:tab w:leader="none" w:pos="128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860" w:right="180" w:hanging="407"/>
        <w:spacing w:after="0" w:line="282" w:lineRule="auto"/>
        <w:tabs>
          <w:tab w:leader="none" w:pos="7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80" w:hanging="401"/>
        <w:spacing w:after="0" w:line="282" w:lineRule="auto"/>
        <w:tabs>
          <w:tab w:leader="none" w:pos="12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60"/>
        <w:spacing w:after="0"/>
        <w:tabs>
          <w:tab w:leader="none" w:pos="660" w:val="left"/>
          <w:tab w:leader="none" w:pos="4600" w:val="left"/>
        </w:tabs>
        <w:rPr>
          <w:sz w:val="20"/>
          <w:szCs w:val="20"/>
          <w:color w:val="auto"/>
        </w:rPr>
      </w:pPr>
      <w:r>
        <w:rPr>
          <w:rFonts w:ascii="Times New Roman" w:cs="Times New Roman" w:eastAsia="Times New Roman" w:hAnsi="Times New Roman"/>
          <w:sz w:val="18"/>
          <w:szCs w:val="18"/>
          <w:color w:val="auto"/>
        </w:rPr>
        <w:t>Date:</w:t>
        <w:tab/>
        <w:t>October 30, 2026</w:t>
      </w:r>
      <w:r>
        <w:rPr>
          <w:sz w:val="20"/>
          <w:szCs w:val="20"/>
          <w:color w:val="auto"/>
        </w:rPr>
        <w:tab/>
      </w:r>
      <w:r>
        <w:rPr>
          <w:rFonts w:ascii="Times New Roman" w:cs="Times New Roman" w:eastAsia="Times New Roman" w:hAnsi="Times New Roman"/>
          <w:sz w:val="17"/>
          <w:szCs w:val="17"/>
          <w:color w:val="auto"/>
        </w:rPr>
        <w:t>/s/ 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17145</wp:posOffset>
            </wp:positionV>
            <wp:extent cx="42087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Robert F. Barton</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EVP and Chief Financial Officer</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F. Barton, certify that:</w:t>
      </w:r>
    </w:p>
    <w:p>
      <w:pPr>
        <w:spacing w:after="0" w:line="117" w:lineRule="exact"/>
        <w:rPr>
          <w:sz w:val="20"/>
          <w:szCs w:val="20"/>
          <w:color w:val="auto"/>
        </w:rPr>
      </w:pPr>
    </w:p>
    <w:p>
      <w:pPr>
        <w:ind w:left="760" w:hanging="307"/>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Assets Trust, L.P.;</w:t>
      </w:r>
    </w:p>
    <w:p>
      <w:pPr>
        <w:spacing w:after="0" w:line="11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60" w:right="240" w:hanging="407"/>
        <w:spacing w:after="0" w:line="282" w:lineRule="auto"/>
        <w:tabs>
          <w:tab w:leader="none" w:pos="7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860" w:right="220" w:hanging="407"/>
        <w:spacing w:after="0" w:line="276" w:lineRule="auto"/>
        <w:tabs>
          <w:tab w:leader="none" w:pos="76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300" w:right="120" w:hanging="401"/>
        <w:spacing w:after="0" w:line="266" w:lineRule="auto"/>
        <w:tabs>
          <w:tab w:leader="none" w:pos="127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401"/>
        <w:spacing w:after="0" w:line="312" w:lineRule="auto"/>
        <w:tabs>
          <w:tab w:leader="none" w:pos="127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401"/>
        <w:spacing w:after="0" w:line="266" w:lineRule="auto"/>
        <w:tabs>
          <w:tab w:leader="none" w:pos="128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860" w:right="180" w:hanging="407"/>
        <w:spacing w:after="0" w:line="282" w:lineRule="auto"/>
        <w:tabs>
          <w:tab w:leader="none" w:pos="7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80" w:hanging="401"/>
        <w:spacing w:after="0" w:line="282" w:lineRule="auto"/>
        <w:tabs>
          <w:tab w:leader="none" w:pos="127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60"/>
        <w:spacing w:after="0"/>
        <w:tabs>
          <w:tab w:leader="none" w:pos="660" w:val="left"/>
          <w:tab w:leader="none" w:pos="4600" w:val="left"/>
        </w:tabs>
        <w:rPr>
          <w:sz w:val="20"/>
          <w:szCs w:val="20"/>
          <w:color w:val="auto"/>
        </w:rPr>
      </w:pPr>
      <w:r>
        <w:rPr>
          <w:rFonts w:ascii="Times New Roman" w:cs="Times New Roman" w:eastAsia="Times New Roman" w:hAnsi="Times New Roman"/>
          <w:sz w:val="18"/>
          <w:szCs w:val="18"/>
          <w:color w:val="auto"/>
        </w:rPr>
        <w:t>Date:</w:t>
        <w:tab/>
        <w:t>October 30, 2026</w:t>
      </w:r>
      <w:r>
        <w:rPr>
          <w:sz w:val="20"/>
          <w:szCs w:val="20"/>
          <w:color w:val="auto"/>
        </w:rPr>
        <w:tab/>
      </w:r>
      <w:r>
        <w:rPr>
          <w:rFonts w:ascii="Times New Roman" w:cs="Times New Roman" w:eastAsia="Times New Roman" w:hAnsi="Times New Roman"/>
          <w:sz w:val="17"/>
          <w:szCs w:val="17"/>
          <w:color w:val="auto"/>
        </w:rPr>
        <w:t>/s/ 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17145</wp:posOffset>
            </wp:positionV>
            <wp:extent cx="42087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Robert F. Barton</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EVP and Chief Financial Officer</w:t>
      </w:r>
    </w:p>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undersigned, Adam Wyll and Robert F. Barton, the Chief Executive Officer and Chief Financial Officer, respectively, of American Assets Trust, Inc. (the “Company”), pursuant to 18 U.S.C. §1350, as adopted pursuant to Section 906 of the Sarbanes-Oxley Act of 2002, each hereby certifies that, to the best of his knowledge:</w:t>
      </w:r>
    </w:p>
    <w:p>
      <w:pPr>
        <w:spacing w:after="0" w:line="122" w:lineRule="exact"/>
        <w:rPr>
          <w:sz w:val="20"/>
          <w:szCs w:val="20"/>
          <w:color w:val="auto"/>
        </w:rPr>
      </w:pPr>
    </w:p>
    <w:p>
      <w:pPr>
        <w:ind w:right="920" w:firstLine="453"/>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for the period ended September 30, 2026 of the Company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720" w:hanging="267"/>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ADAM WYLL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429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Adam Wyll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429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F. Barton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EVP and Chief Financial Officer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ectPr>
          <w:pgSz w:w="11900" w:h="16838" w:orient="portrait"/>
          <w:cols w:equalWidth="0" w:num="1">
            <w:col w:w="11240"/>
          </w:cols>
          <w:pgMar w:left="320" w:top="88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undersigned, Adam Wyll and Robert F. Barton, the Chief Executive Officer and Chief Financial Officer, respectively, of American Assets Trust, L.P. (the “Operating Partnership”), pursuant to 18 U.S.C. §1350, as adopted pursuant to Section 906 of the Sarbanes-Oxley Act of 2002, each hereby certifies that, to the best of his knowledge:</w:t>
      </w:r>
    </w:p>
    <w:p>
      <w:pPr>
        <w:spacing w:after="0" w:line="122" w:lineRule="exact"/>
        <w:rPr>
          <w:sz w:val="20"/>
          <w:szCs w:val="20"/>
          <w:color w:val="auto"/>
        </w:rPr>
      </w:pPr>
    </w:p>
    <w:p>
      <w:pPr>
        <w:ind w:right="40" w:firstLine="453"/>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for the period ended September 30, 2026 of the Operating Partnership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right="160" w:firstLine="453"/>
        <w:spacing w:after="0" w:line="282" w:lineRule="auto"/>
        <w:tabs>
          <w:tab w:leader="none" w:pos="7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Operating Partnership.</w:t>
      </w: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ADAM WYLL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429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Adam Wyll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429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F. Barton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EVP and Chief Financial Officer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Letter"/>
      <w:start w:val="2"/>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3"/>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lvl w:ilvl="1">
      <w:lvlJc w:val="left"/>
      <w:lvlText w:val="%2"/>
      <w:numFmt w:val="decimal"/>
      <w:start w:val="104"/>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lowerRoman"/>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2026-10-30T14:28:57Z</dcterms:created>
  <dcterms:modified xsi:type="dcterms:W3CDTF">2026-10-30T14:28:57Z</dcterms:modified>
</cp:coreProperties>
</file>