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pPr>
      <w:r>
        <w:rPr>
          <w:rFonts w:ascii="Times New Roman;serif" w:hAnsi="Times New Roman;serif"/>
          <w:b/>
          <w:color w:val="000000"/>
          <w:sz w:val="32"/>
        </w:rPr>
        <w:t>FORM 8-K</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pPr>
      <w:r>
        <w:rPr>
          <w:rFonts w:ascii="Times New Roman;serif" w:hAnsi="Times New Roman;serif"/>
          <w:b/>
          <w:color w:val="000000"/>
          <w:sz w:val="24"/>
        </w:rPr>
        <w:t>CURRENT REPORT</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July 28,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60" w:after="60"/>
        <w:jc w:val="center"/>
        <w:rPr/>
      </w:pPr>
      <w:r>
        <w:rPr/>
        <w:drawing>
          <wp:inline distT="0" distB="0" distL="0" distR="0">
            <wp:extent cx="16573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572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American Assets Trust,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4889" w:type="dxa"/>
        <w:jc w:val="center"/>
        <w:tblInd w:w="0" w:type="dxa"/>
        <w:tblLayout w:type="fixed"/>
        <w:tblCellMar>
          <w:top w:w="28" w:type="dxa"/>
          <w:left w:w="28" w:type="dxa"/>
          <w:bottom w:w="28" w:type="dxa"/>
          <w:right w:w="28" w:type="dxa"/>
        </w:tblCellMar>
      </w:tblPr>
      <w:tblGrid>
        <w:gridCol w:w="782"/>
        <w:gridCol w:w="686"/>
        <w:gridCol w:w="692"/>
        <w:gridCol w:w="388"/>
        <w:gridCol w:w="388"/>
        <w:gridCol w:w="393"/>
        <w:gridCol w:w="455"/>
        <w:gridCol w:w="455"/>
        <w:gridCol w:w="650"/>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ind w:left="0" w:right="0" w:hanging="45"/>
              <w:jc w:val="center"/>
              <w:rPr>
                <w:rFonts w:ascii="Times New Roman;serif" w:hAnsi="Times New Roman;serif"/>
                <w:b/>
                <w:color w:val="000000"/>
                <w:sz w:val="18"/>
              </w:rPr>
            </w:pPr>
            <w:r>
              <w:rPr>
                <w:rFonts w:ascii="Times New Roman;serif" w:hAnsi="Times New Roman;serif"/>
                <w:b/>
                <w:color w:val="000000"/>
                <w:sz w:val="18"/>
              </w:rPr>
              <w:t>001-35030</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27-3338708</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(Commission </w:t>
              <w:br/>
              <w:t>File No.)</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3420 Carmel Mountain Road, Suite 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Diego, California 92121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(858) 350-2600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88"/>
        <w:gridCol w:w="693"/>
        <w:gridCol w:w="696"/>
        <w:gridCol w:w="1096"/>
        <w:gridCol w:w="1062"/>
        <w:gridCol w:w="1067"/>
        <w:gridCol w:w="452"/>
        <w:gridCol w:w="452"/>
        <w:gridCol w:w="454"/>
        <w:gridCol w:w="1008"/>
        <w:gridCol w:w="1007"/>
        <w:gridCol w:w="1430"/>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Registrant</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Assets Trust, Inc.</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AAT</w:t>
            </w:r>
          </w:p>
        </w:tc>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40" w:after="40"/>
        <w:jc w:val="left"/>
        <w:rPr/>
      </w:pPr>
      <w:r>
        <w:rPr/>
      </w:r>
    </w:p>
    <w:p>
      <w:pPr>
        <w:pStyle w:val="TextBody"/>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77520"/>
                <wp:effectExtent l="0" t="0" r="0" b="0"/>
                <wp:wrapNone/>
                <wp:docPr id="2" name="Frame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right"/>
                              <w:rPr/>
                            </w:pPr>
                            <w:r>
                              <w:rPr/>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right"/>
                        <w:rPr/>
                      </w:pPr>
                      <w:r>
                        <w:rPr/>
                      </w:r>
                    </w:p>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28, 2026, American Assets Trust, Inc. (the “Company”) issued a press release regarding its financial results for the quarter ending June 30, 2026. Also on July 28, 2026, the Company made available on the “Investors” page of its website at </w:t>
      </w:r>
      <w:r>
        <w:rPr>
          <w:rFonts w:ascii="Times New Roman;serif" w:hAnsi="Times New Roman;serif"/>
          <w:b w:val="false"/>
          <w:color w:val="0000FF"/>
          <w:sz w:val="20"/>
          <w:u w:val="single"/>
        </w:rPr>
        <w:t>www.americanassetstrust.com</w:t>
      </w:r>
      <w:r>
        <w:rPr>
          <w:color w:val="000000"/>
        </w:rPr>
        <w:t xml:space="preserve"> </w:t>
      </w:r>
      <w:r>
        <w:rPr>
          <w:rFonts w:ascii="Times New Roman;serif" w:hAnsi="Times New Roman;serif"/>
          <w:b w:val="false"/>
          <w:color w:val="000000"/>
          <w:sz w:val="20"/>
        </w:rPr>
        <w:t xml:space="preserve">certain supplemental information concerning the Company’s financial results and operations for the quarter ending June 30, 2026. Copies of the press release and supplemental information are attached hereto as Exhibits 99.1 and 99.2,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Exhibits 99.1 and 99.2, are being furnished pursuant to Item 2.02 and shall not be deemed “filed” for any purpose, including for the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 </w:t>
      </w:r>
    </w:p>
    <w:p>
      <w:pPr>
        <w:pStyle w:val="TextBody"/>
        <w:bidi w:val="0"/>
        <w:spacing w:before="0" w:after="0"/>
        <w:ind w:left="0" w:right="0" w:hanging="108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Item 2.02 above, the Company issued a press release regarding its financial results for the quarter ending June 30, 2026 and made available on its website certain supplemental information relating thereto.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being furnished pursuant to Item 7.01 and shall not be deemed “filed” for any purpose, including for the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 </w:t>
      </w:r>
    </w:p>
    <w:p>
      <w:pPr>
        <w:pStyle w:val="TextBody"/>
        <w:bidi w:val="0"/>
        <w:spacing w:before="0" w:after="0"/>
        <w:ind w:left="0" w:right="0" w:hanging="1080"/>
        <w:jc w:val="left"/>
        <w:rPr/>
      </w:pPr>
      <w:r>
        <w:rPr/>
      </w:r>
    </w:p>
    <w:p>
      <w:pPr>
        <w:pStyle w:val="TextBody"/>
        <w:bidi w:val="0"/>
        <w:spacing w:before="0" w:after="0"/>
        <w:ind w:left="0" w:right="0" w:hanging="1080"/>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0"/>
        </w:rPr>
        <w:t>Item 9.01    Financial Statements and Exhibits.</w:t>
      </w:r>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w:t>
      </w:r>
    </w:p>
    <w:tbl>
      <w:tblPr>
        <w:tblW w:w="10205" w:type="dxa"/>
        <w:jc w:val="left"/>
        <w:tblInd w:w="0" w:type="dxa"/>
        <w:tblLayout w:type="fixed"/>
        <w:tblCellMar>
          <w:top w:w="28" w:type="dxa"/>
          <w:left w:w="28" w:type="dxa"/>
          <w:bottom w:w="28" w:type="dxa"/>
          <w:right w:w="28" w:type="dxa"/>
        </w:tblCellMar>
      </w:tblPr>
      <w:tblGrid>
        <w:gridCol w:w="453"/>
        <w:gridCol w:w="399"/>
        <w:gridCol w:w="401"/>
        <w:gridCol w:w="109"/>
        <w:gridCol w:w="109"/>
        <w:gridCol w:w="109"/>
        <w:gridCol w:w="2534"/>
        <w:gridCol w:w="2518"/>
        <w:gridCol w:w="3573"/>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16"/>
                <w:u w:val="single"/>
              </w:rPr>
              <w:t>Exhibit</w:t>
            </w:r>
            <w:r>
              <w:rPr>
                <w:color w:val="000000"/>
              </w:rPr>
              <w:t xml:space="preserve"> </w:t>
            </w: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00"/>
              <w:ind w:left="0" w:right="0" w:firstLine="45"/>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a2q26earningsrelease.htm">
              <w:r>
                <w:rPr>
                  <w:rStyle w:val="InternetLink"/>
                  <w:rFonts w:ascii="Times New Roman;serif" w:hAnsi="Times New Roman;serif"/>
                  <w:b w:val="false"/>
                  <w:color w:val="000080"/>
                  <w:sz w:val="20"/>
                  <w:u w:val="single"/>
                </w:rPr>
                <w:t xml:space="preserve">Press release issued by American Assets Trust, Inc. on </w:t>
              </w:r>
            </w:hyperlink>
            <w:hyperlink w:anchor="a2q26earningsrelease.htm">
              <w:r>
                <w:rPr>
                  <w:rStyle w:val="InternetLink"/>
                  <w:rFonts w:ascii="Times New Roman;serif" w:hAnsi="Times New Roman;serif"/>
                  <w:b w:val="false"/>
                  <w:color w:val="000080"/>
                  <w:sz w:val="20"/>
                  <w:u w:val="single"/>
                </w:rPr>
                <w:t>July</w:t>
              </w:r>
            </w:hyperlink>
            <w:hyperlink w:anchor="a2q26earningsrelease.htm">
              <w:r>
                <w:rPr>
                  <w:rStyle w:val="InternetLink"/>
                  <w:rFonts w:ascii="Times New Roman;serif" w:hAnsi="Times New Roman;serif"/>
                  <w:b w:val="false"/>
                  <w:color w:val="000080"/>
                  <w:sz w:val="20"/>
                  <w:u w:val="single"/>
                </w:rPr>
                <w:t xml:space="preserve"> 28, 2026.</w:t>
              </w:r>
            </w:hyperlink>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supplemental.htm">
              <w:r>
                <w:rPr>
                  <w:rStyle w:val="InternetLink"/>
                  <w:rFonts w:ascii="Times New Roman;serif" w:hAnsi="Times New Roman;serif"/>
                  <w:b w:val="false"/>
                  <w:color w:val="000080"/>
                  <w:sz w:val="20"/>
                  <w:u w:val="single"/>
                </w:rPr>
                <w:t xml:space="preserve">American Assets Trust, Inc. Supplemental Information for the quarter ended </w:t>
              </w:r>
            </w:hyperlink>
            <w:hyperlink w:anchor="a2q26supplemental.htm">
              <w:r>
                <w:rPr>
                  <w:rStyle w:val="InternetLink"/>
                  <w:rFonts w:ascii="Times New Roman;serif" w:hAnsi="Times New Roman;serif"/>
                  <w:b w:val="false"/>
                  <w:color w:val="000080"/>
                  <w:sz w:val="20"/>
                  <w:u w:val="single"/>
                </w:rPr>
                <w:t>June</w:t>
              </w:r>
            </w:hyperlink>
            <w:hyperlink w:anchor="a2q26supplemental.htm">
              <w:r>
                <w:rPr>
                  <w:rStyle w:val="InternetLink"/>
                  <w:rFonts w:ascii="Times New Roman;serif" w:hAnsi="Times New Roman;serif"/>
                  <w:b w:val="false"/>
                  <w:color w:val="000080"/>
                  <w:sz w:val="20"/>
                  <w:u w:val="single"/>
                </w:rPr>
                <w:t xml:space="preserve"> 3</w:t>
              </w:r>
            </w:hyperlink>
            <w:hyperlink w:anchor="a2q26supplemental.htm">
              <w:r>
                <w:rPr>
                  <w:rStyle w:val="InternetLink"/>
                  <w:rFonts w:ascii="Times New Roman;serif" w:hAnsi="Times New Roman;serif"/>
                  <w:b w:val="false"/>
                  <w:color w:val="000080"/>
                  <w:sz w:val="20"/>
                  <w:u w:val="single"/>
                </w:rPr>
                <w:t>0</w:t>
              </w:r>
            </w:hyperlink>
            <w:hyperlink w:anchor="a2q26supplemental.htm">
              <w:r>
                <w:rPr>
                  <w:rStyle w:val="InternetLink"/>
                  <w:rFonts w:ascii="Times New Roman;serif" w:hAnsi="Times New Roman;serif"/>
                  <w:b w:val="false"/>
                  <w:color w:val="000080"/>
                  <w:sz w:val="20"/>
                  <w:u w:val="single"/>
                </w:rPr>
                <w:t>, 2026.</w:t>
              </w:r>
            </w:hyperlink>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_____________________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061" w:type="dxa"/>
        <w:jc w:val="left"/>
        <w:tblInd w:w="0" w:type="dxa"/>
        <w:tblLayout w:type="fixed"/>
        <w:tblCellMar>
          <w:top w:w="28" w:type="dxa"/>
          <w:left w:w="28" w:type="dxa"/>
          <w:bottom w:w="28" w:type="dxa"/>
          <w:right w:w="28" w:type="dxa"/>
        </w:tblCellMar>
      </w:tblPr>
      <w:tblGrid>
        <w:gridCol w:w="443"/>
        <w:gridCol w:w="390"/>
        <w:gridCol w:w="396"/>
        <w:gridCol w:w="364"/>
        <w:gridCol w:w="364"/>
        <w:gridCol w:w="364"/>
        <w:gridCol w:w="509"/>
        <w:gridCol w:w="509"/>
        <w:gridCol w:w="72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American Assets Trust,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Robert F. Barton</w:t>
            </w:r>
          </w:p>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drawing>
          <wp:inline distT="0" distB="0" distL="0" distR="0">
            <wp:extent cx="1419225" cy="742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19225" cy="742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American Assets Trust, Inc. Reports Second Quarter 2026 Financial Results</w:t>
      </w:r>
    </w:p>
    <w:p>
      <w:pPr>
        <w:pStyle w:val="TextBody"/>
        <w:bidi w:val="0"/>
        <w:spacing w:before="0" w:after="60"/>
        <w:ind w:left="0" w:right="0" w:hanging="360"/>
        <w:jc w:val="left"/>
        <w:rPr/>
      </w:pPr>
      <w:r>
        <w:rPr/>
      </w:r>
    </w:p>
    <w:p>
      <w:pPr>
        <w:pStyle w:val="TextBody"/>
        <w:bidi w:val="0"/>
        <w:spacing w:lineRule="auto" w:line="288" w:before="0" w:after="0"/>
        <w:jc w:val="left"/>
        <w:rPr/>
      </w:pPr>
      <w:r>
        <w:rPr>
          <w:rFonts w:ascii="Arial;sans-serif" w:hAnsi="Arial;sans-serif"/>
          <w:b/>
          <w:color w:val="000000"/>
          <w:sz w:val="20"/>
        </w:rPr>
        <w:t>SAN DIEGO, California - 7/28/2026</w:t>
      </w:r>
      <w:r>
        <w:rPr>
          <w:color w:val="000000"/>
        </w:rPr>
        <w:t xml:space="preserve"> </w:t>
      </w:r>
      <w:r>
        <w:rPr>
          <w:rFonts w:ascii="Arial;sans-serif" w:hAnsi="Arial;sans-serif"/>
          <w:b w:val="false"/>
          <w:color w:val="000000"/>
          <w:sz w:val="20"/>
        </w:rPr>
        <w:t>- American Assets Trust, Inc. (NYSE: AAT) (the “company”) today reported financial results for its second quarter ended June 30, 2026.</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Second Quarter Highlights</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Net income available to common stockholders of $5.2 million and $10.3 million for the three and six months ended June 30, 2026, respectively, or $0.09 and $0.17 per diluted share, respectively.</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FFO of $0.51 and $1.02 per diluted share for the three and six months ended June 30, 2026, respectively, compared to $0.52 and $1.04 per diluted share for the same periods in 2025.</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Same-store cash Net Operating Income (</w:t>
      </w:r>
      <w:r>
        <w:rPr>
          <w:color w:val="000000"/>
        </w:rPr>
        <w:t>“</w:t>
      </w:r>
      <w:r>
        <w:rPr>
          <w:rFonts w:ascii="Arial;sans-serif" w:hAnsi="Arial;sans-serif"/>
          <w:b/>
          <w:color w:val="000000"/>
          <w:sz w:val="20"/>
        </w:rPr>
        <w:t xml:space="preserve">NOI”) increased 0.3% and decreased 0.1% for the three and six months ended June 30, 2026, respectively, compared to the same periods in 2025. </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Achieved record average rental rates across our office, retail, and multifamily segments during the second quarter of 2026.</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Leased 110,000 of office square feet, of which approximately 75,000 is comparable at an average straight-line basis and cash-basis contractual rent increase of 10.2% and 9.1%, respectively, during the second quarter.</w:t>
      </w:r>
    </w:p>
    <w:p>
      <w:pPr>
        <w:pStyle w:val="TextBody"/>
        <w:bidi w:val="0"/>
        <w:spacing w:lineRule="auto" w:line="288" w:before="0" w:after="100"/>
        <w:ind w:left="0" w:right="0" w:hanging="360"/>
        <w:jc w:val="left"/>
        <w:rPr/>
      </w:pPr>
      <w:r>
        <w:rPr>
          <w:color w:val="000000"/>
        </w:rPr>
        <w:t>•</w:t>
      </w:r>
      <w:r>
        <w:rPr>
          <w:rFonts w:ascii="Arial;sans-serif" w:hAnsi="Arial;sans-serif"/>
          <w:b/>
          <w:color w:val="000000"/>
          <w:sz w:val="20"/>
        </w:rPr>
        <w:t>Leased 139,000 of retail square feet, of which approximately 134,000 is comparable at an average straight-line basis and cash-basis contractual rent increase of 20.2% and 3.0%, respectively, during the second quarter.</w: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Amended and Restated Credit Facility</w:t>
      </w:r>
    </w:p>
    <w:p>
      <w:pPr>
        <w:pStyle w:val="TextBody"/>
        <w:bidi w:val="0"/>
        <w:spacing w:lineRule="auto" w:line="288" w:before="0" w:after="100"/>
        <w:ind w:left="0" w:right="0" w:hanging="360"/>
        <w:jc w:val="left"/>
        <w:rPr>
          <w:color w:val="000000"/>
        </w:rPr>
      </w:pPr>
      <w:r>
        <w:rPr>
          <w:color w:val="000000"/>
        </w:rPr>
        <w:t>•    </w:t>
      </w:r>
      <w:r>
        <w:rPr>
          <w:rFonts w:ascii="Arial;sans-serif" w:hAnsi="Arial;sans-serif"/>
          <w:b/>
          <w:color w:val="000000"/>
          <w:sz w:val="20"/>
        </w:rPr>
        <w:t>On April 1, 2026, the credit facility was amended and restated to, among other things, increase the borrowing capacity to $600 million, consisting of a $500 million revolving line of credit and a $100 million term loan, and extend the maturity date to April 1, 2030. As of June 30, 2026, the only amount outstanding under the credit facility was the $100 million term loan.</w: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Financial Results</w:t>
      </w:r>
    </w:p>
    <w:tbl>
      <w:tblPr>
        <w:tblW w:w="10205" w:type="dxa"/>
        <w:jc w:val="left"/>
        <w:tblInd w:w="0" w:type="dxa"/>
        <w:tblLayout w:type="fixed"/>
        <w:tblCellMar>
          <w:top w:w="28" w:type="dxa"/>
          <w:left w:w="28" w:type="dxa"/>
          <w:bottom w:w="28" w:type="dxa"/>
          <w:right w:w="28" w:type="dxa"/>
        </w:tblCellMar>
      </w:tblPr>
      <w:tblGrid>
        <w:gridCol w:w="1762"/>
        <w:gridCol w:w="1510"/>
        <w:gridCol w:w="1518"/>
        <w:gridCol w:w="219"/>
        <w:gridCol w:w="783"/>
        <w:gridCol w:w="113"/>
        <w:gridCol w:w="113"/>
        <w:gridCol w:w="113"/>
        <w:gridCol w:w="113"/>
        <w:gridCol w:w="219"/>
        <w:gridCol w:w="783"/>
        <w:gridCol w:w="113"/>
        <w:gridCol w:w="109"/>
        <w:gridCol w:w="109"/>
        <w:gridCol w:w="109"/>
        <w:gridCol w:w="211"/>
        <w:gridCol w:w="751"/>
        <w:gridCol w:w="109"/>
        <w:gridCol w:w="109"/>
        <w:gridCol w:w="109"/>
        <w:gridCol w:w="109"/>
        <w:gridCol w:w="211"/>
        <w:gridCol w:w="751"/>
        <w:gridCol w:w="159"/>
      </w:tblGrid>
      <w:tr>
        <w:trPr/>
        <w:tc>
          <w:tcPr>
            <w:tcW w:w="176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(Unaudited, amounts in thousands, except per share data)</w:t>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income attributable to common stockholders per share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FFO attributable to common stock and common units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FFO per diluted share and unit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 decreased $47.7 million for the six months ended June 30, 2026 compared to the same period in 2025, primarily driven by the gain on sale of Del Monte Center recognized in 2025, higher interest expense as we ceased capitalization of interest related to La Jolla Commons III being placed into service, decrease in occupancy at First &amp; Main and 14Acres and overall increase in rental expenses across all segments.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FFO decreased $1.5 million for the six months ended June 30, 2026 compared to the same period in 2025, primarily due to the items described above. Gain on sale of Del Monte Center is excluded from FFO computations.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FFO is a non-GAAP supplemental earnings measure which the company considers meaningful in measuring its operating performance. A reconciliation of net income to FFO is attached to this press release.</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Leasing</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portfolio leased status as of the end of the indicated quarter was as follows:</w:t>
      </w:r>
    </w:p>
    <w:tbl>
      <w:tblPr>
        <w:tblW w:w="5802" w:type="dxa"/>
        <w:jc w:val="left"/>
        <w:tblInd w:w="0" w:type="dxa"/>
        <w:tblLayout w:type="fixed"/>
        <w:tblCellMar>
          <w:top w:w="28" w:type="dxa"/>
          <w:left w:w="28" w:type="dxa"/>
          <w:bottom w:w="28" w:type="dxa"/>
          <w:right w:w="28" w:type="dxa"/>
        </w:tblCellMar>
      </w:tblPr>
      <w:tblGrid>
        <w:gridCol w:w="559"/>
        <w:gridCol w:w="490"/>
        <w:gridCol w:w="495"/>
        <w:gridCol w:w="454"/>
        <w:gridCol w:w="454"/>
        <w:gridCol w:w="456"/>
        <w:gridCol w:w="494"/>
        <w:gridCol w:w="494"/>
        <w:gridCol w:w="496"/>
        <w:gridCol w:w="413"/>
        <w:gridCol w:w="413"/>
        <w:gridCol w:w="584"/>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Portfolio</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Office </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84.4%</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84.5%</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82.0%</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97.9%</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Multifamily </w:t>
            </w:r>
            <w:r>
              <w:rPr>
                <w:rFonts w:ascii="Arial;sans-serif" w:hAnsi="Arial;sans-serif"/>
                <w:b w:val="false"/>
                <w:color w:val="000000"/>
                <w:sz w:val="13"/>
              </w:rPr>
              <w:t xml:space="preserve">(1) (2) </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94.7%</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88.8%</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Mixed-Use: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92.2%</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96.2%</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95.0%</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Hotel</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91.2%</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91.9%</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85.3%</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Same-Store Portfolio </w:t>
            </w:r>
            <w:r>
              <w:rPr>
                <w:rFonts w:ascii="Arial;sans-serif" w:hAnsi="Arial;sans-serif"/>
                <w:b w:val="false"/>
                <w:color w:val="000000"/>
                <w:sz w:val="13"/>
              </w:rPr>
              <w:t>(3)</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84.4%</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84.5%</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82.0%</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97.9%</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Multifamily </w:t>
            </w:r>
            <w:r>
              <w:rPr>
                <w:rFonts w:ascii="Arial;sans-serif" w:hAnsi="Arial;sans-serif"/>
                <w:b w:val="false"/>
                <w:color w:val="000000"/>
                <w:sz w:val="13"/>
              </w:rPr>
              <w:t>(1) (2)</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94.7%</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88.8%</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Mixed-Use: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92.2%</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96.2%</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95.0%</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Hotel</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91.2%</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91.9%</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85.3%</w:t>
            </w:r>
          </w:p>
        </w:tc>
      </w:tr>
    </w:tbl>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(1)     Percentage leased for our multifamily properties includes total units rented and occupied as of each of the applicable dates.</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(2)    Santa Fe Park RV Resort is excluded from the multifamily presentation above to reflect traditional multifamily performance. Including Santa Fe Park RV Resort, multifamily occupancy would be 87.7%, 92.1% and 88.1% as of June 30, 2026, March 31, 2026 and June 30, 2025, respectively. </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(3)    Same-store portfolio excludes land held for development. </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During the second quarter of 2026, the company signed 34 leases for approximately 248,700 square feet of office and retail space, as well as 575 multifamily apartment leases. Renewals accounted for 67% of the comparable office leases, 100% of the comparable retail leases, and 77% of the residential leases. </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0"/>
          <w:u w:val="single"/>
        </w:rPr>
      </w:pPr>
      <w:r>
        <w:rPr>
          <w:rFonts w:ascii="Arial;sans-serif" w:hAnsi="Arial;sans-serif"/>
          <w:b w:val="false"/>
          <w:color w:val="000000"/>
          <w:sz w:val="20"/>
          <w:u w:val="single"/>
        </w:rPr>
        <w:t>Office and Retail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annualized base rent per leased square foot as of the end of the indicated quarter was as follows:</w:t>
      </w:r>
    </w:p>
    <w:tbl>
      <w:tblPr>
        <w:tblW w:w="9717" w:type="dxa"/>
        <w:jc w:val="left"/>
        <w:tblInd w:w="0" w:type="dxa"/>
        <w:tblLayout w:type="fixed"/>
        <w:tblCellMar>
          <w:top w:w="28" w:type="dxa"/>
          <w:left w:w="28" w:type="dxa"/>
          <w:bottom w:w="28" w:type="dxa"/>
          <w:right w:w="28" w:type="dxa"/>
        </w:tblCellMar>
      </w:tblPr>
      <w:tblGrid>
        <w:gridCol w:w="239"/>
        <w:gridCol w:w="210"/>
        <w:gridCol w:w="212"/>
        <w:gridCol w:w="824"/>
        <w:gridCol w:w="824"/>
        <w:gridCol w:w="827"/>
        <w:gridCol w:w="544"/>
        <w:gridCol w:w="544"/>
        <w:gridCol w:w="546"/>
        <w:gridCol w:w="539"/>
        <w:gridCol w:w="539"/>
        <w:gridCol w:w="541"/>
        <w:gridCol w:w="534"/>
        <w:gridCol w:w="534"/>
        <w:gridCol w:w="536"/>
        <w:gridCol w:w="504"/>
        <w:gridCol w:w="504"/>
        <w:gridCol w:w="71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3rd Quarter 2025</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4th Quarter 2025</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1st Quarter 2026</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2nd Quarter 2026</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Office</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Portfolio</w:t>
            </w:r>
          </w:p>
        </w:tc>
        <w:tc>
          <w:tcPr>
            <w:tcW w:w="1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$56.59</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$56.69</w:t>
            </w:r>
          </w:p>
        </w:tc>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$56.64</w:t>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$57.83</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Retail</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Portfolio</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$29.57</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$29.72</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$30.04</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$30.12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 comparable basis (i.e., leases for which there was a former tenant in the past six-months) our office and retail leasing spreads as of the end of the indicated quarter are shown below:</w:t>
      </w:r>
    </w:p>
    <w:tbl>
      <w:tblPr>
        <w:tblW w:w="10205" w:type="dxa"/>
        <w:jc w:val="left"/>
        <w:tblInd w:w="0" w:type="dxa"/>
        <w:tblLayout w:type="fixed"/>
        <w:tblCellMar>
          <w:top w:w="28" w:type="dxa"/>
          <w:left w:w="28" w:type="dxa"/>
          <w:bottom w:w="28" w:type="dxa"/>
          <w:right w:w="28" w:type="dxa"/>
        </w:tblCellMar>
      </w:tblPr>
      <w:tblGrid>
        <w:gridCol w:w="239"/>
        <w:gridCol w:w="210"/>
        <w:gridCol w:w="212"/>
        <w:gridCol w:w="1217"/>
        <w:gridCol w:w="1181"/>
        <w:gridCol w:w="1184"/>
        <w:gridCol w:w="492"/>
        <w:gridCol w:w="492"/>
        <w:gridCol w:w="494"/>
        <w:gridCol w:w="488"/>
        <w:gridCol w:w="488"/>
        <w:gridCol w:w="490"/>
        <w:gridCol w:w="484"/>
        <w:gridCol w:w="484"/>
        <w:gridCol w:w="486"/>
        <w:gridCol w:w="456"/>
        <w:gridCol w:w="456"/>
        <w:gridCol w:w="65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3rd Quarter 2025</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4th Quarter 2025</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1st Quarter 2026</w:t>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2nd Quarter 2026</w:t>
            </w:r>
          </w:p>
        </w:tc>
      </w:tr>
      <w:tr>
        <w:trPr/>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Office</w:t>
            </w:r>
          </w:p>
        </w:tc>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Basis % Change Over Prior Rent</w:t>
            </w:r>
          </w:p>
        </w:tc>
        <w:tc>
          <w:tcPr>
            <w:tcW w:w="14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9.3%</w:t>
            </w:r>
          </w:p>
        </w:tc>
        <w:tc>
          <w:tcPr>
            <w:tcW w:w="1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1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r>
      <w:tr>
        <w:trPr/>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Straight-Line Basis % Change Over Prior Rent</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18.6%</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Retail</w:t>
            </w:r>
          </w:p>
        </w:tc>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Basis % Change Over Prior Rent</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r>
      <w:tr>
        <w:trPr/>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Straight-Line Basis % Change Over Prior Rent</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21.0%</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24.3%</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On a comparable basis (i.e., leases for which there was a former tenant in the past six months) during the three and six months ended June 30, 2026 our office and retail leasing spreads are shown below: </w:t>
      </w:r>
    </w:p>
    <w:tbl>
      <w:tblPr>
        <w:tblW w:w="10205" w:type="dxa"/>
        <w:jc w:val="left"/>
        <w:tblInd w:w="0" w:type="dxa"/>
        <w:tblLayout w:type="fixed"/>
        <w:tblCellMar>
          <w:top w:w="28" w:type="dxa"/>
          <w:left w:w="28" w:type="dxa"/>
          <w:bottom w:w="28" w:type="dxa"/>
          <w:right w:w="28" w:type="dxa"/>
        </w:tblCellMar>
      </w:tblPr>
      <w:tblGrid>
        <w:gridCol w:w="239"/>
        <w:gridCol w:w="210"/>
        <w:gridCol w:w="212"/>
        <w:gridCol w:w="240"/>
        <w:gridCol w:w="240"/>
        <w:gridCol w:w="241"/>
        <w:gridCol w:w="421"/>
        <w:gridCol w:w="421"/>
        <w:gridCol w:w="423"/>
        <w:gridCol w:w="528"/>
        <w:gridCol w:w="528"/>
        <w:gridCol w:w="530"/>
        <w:gridCol w:w="640"/>
        <w:gridCol w:w="640"/>
        <w:gridCol w:w="642"/>
        <w:gridCol w:w="634"/>
        <w:gridCol w:w="634"/>
        <w:gridCol w:w="635"/>
        <w:gridCol w:w="625"/>
        <w:gridCol w:w="625"/>
        <w:gridCol w:w="89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Leases Signed</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Comparable Leased Sq. Ft.</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Cash Basis % Change Over Prior Rent</w:t>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Cash Contractual Rent Per Sq. Ft.</w:t>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Straight-Line Basis % Change Over Prior Rent</w:t>
            </w:r>
          </w:p>
        </w:tc>
      </w:tr>
      <w:tr>
        <w:trPr/>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Office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12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1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75,416</w:t>
            </w:r>
          </w:p>
        </w:tc>
        <w:tc>
          <w:tcPr>
            <w:tcW w:w="19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c>
          <w:tcPr>
            <w:tcW w:w="19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$61.75</w:t>
            </w:r>
          </w:p>
        </w:tc>
        <w:tc>
          <w:tcPr>
            <w:tcW w:w="2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r>
      <w:tr>
        <w:trPr/>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YTD Q2 2026</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183,872</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$59.93</w:t>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Retail</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133,828</w:t>
            </w:r>
          </w:p>
        </w:tc>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$39.18</w:t>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w:t>
            </w:r>
          </w:p>
        </w:tc>
      </w:tr>
      <w:tr>
        <w:trPr/>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YTD Q2 2026</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171,421</w:t>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$40.61</w:t>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15.3%</w:t>
            </w:r>
          </w:p>
        </w:tc>
      </w:tr>
    </w:tbl>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u w:val="single"/>
        </w:rPr>
      </w:pPr>
      <w:r>
        <w:rPr>
          <w:rFonts w:ascii="Arial;sans-serif" w:hAnsi="Arial;sans-serif"/>
          <w:b w:val="false"/>
          <w:color w:val="000000"/>
          <w:sz w:val="20"/>
          <w:u w:val="single"/>
        </w:rPr>
        <w:t>Multifamily</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average monthly base rent per occupied unit as of the end of the indicated quarter was as follows:</w:t>
      </w:r>
    </w:p>
    <w:tbl>
      <w:tblPr>
        <w:tblW w:w="10205" w:type="dxa"/>
        <w:jc w:val="left"/>
        <w:tblInd w:w="0" w:type="dxa"/>
        <w:tblLayout w:type="fixed"/>
        <w:tblCellMar>
          <w:top w:w="28" w:type="dxa"/>
          <w:left w:w="28" w:type="dxa"/>
          <w:bottom w:w="28" w:type="dxa"/>
          <w:right w:w="28" w:type="dxa"/>
        </w:tblCellMar>
      </w:tblPr>
      <w:tblGrid>
        <w:gridCol w:w="1436"/>
        <w:gridCol w:w="1262"/>
        <w:gridCol w:w="1269"/>
        <w:gridCol w:w="338"/>
        <w:gridCol w:w="1035"/>
        <w:gridCol w:w="174"/>
        <w:gridCol w:w="335"/>
        <w:gridCol w:w="1027"/>
        <w:gridCol w:w="172"/>
        <w:gridCol w:w="331"/>
        <w:gridCol w:w="1017"/>
        <w:gridCol w:w="171"/>
        <w:gridCol w:w="340"/>
        <w:gridCol w:w="1042"/>
        <w:gridCol w:w="256"/>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3rd Quarter 2025</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4th Quarter 2025</w:t>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1st Quarter 2026</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2nd Quarter 2026</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Monthly Base Rent per Occupied Unit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Same-Store Cash Net Operating Income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three and six months ended June 30, 2026, same-store cash NOI increased 0.3% and decreased 0.1%, respectively, compared to the three and six months ended June 30, 2025. The same-store cash NOI by segment was as follows (in thousands):</w: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730"/>
        <w:gridCol w:w="644"/>
        <w:gridCol w:w="617"/>
        <w:gridCol w:w="211"/>
        <w:gridCol w:w="751"/>
        <w:gridCol w:w="109"/>
        <w:gridCol w:w="109"/>
        <w:gridCol w:w="109"/>
        <w:gridCol w:w="109"/>
        <w:gridCol w:w="211"/>
        <w:gridCol w:w="751"/>
        <w:gridCol w:w="109"/>
        <w:gridCol w:w="109"/>
        <w:gridCol w:w="109"/>
        <w:gridCol w:w="109"/>
        <w:gridCol w:w="237"/>
        <w:gridCol w:w="237"/>
        <w:gridCol w:w="135"/>
        <w:gridCol w:w="135"/>
        <w:gridCol w:w="135"/>
        <w:gridCol w:w="136"/>
        <w:gridCol w:w="109"/>
        <w:gridCol w:w="109"/>
        <w:gridCol w:w="109"/>
        <w:gridCol w:w="211"/>
        <w:gridCol w:w="856"/>
        <w:gridCol w:w="109"/>
        <w:gridCol w:w="109"/>
        <w:gridCol w:w="109"/>
        <w:gridCol w:w="109"/>
        <w:gridCol w:w="211"/>
        <w:gridCol w:w="856"/>
        <w:gridCol w:w="109"/>
        <w:gridCol w:w="109"/>
        <w:gridCol w:w="109"/>
        <w:gridCol w:w="109"/>
        <w:gridCol w:w="237"/>
        <w:gridCol w:w="237"/>
        <w:gridCol w:w="133"/>
        <w:gridCol w:w="133"/>
        <w:gridCol w:w="133"/>
        <w:gridCol w:w="197"/>
      </w:tblGrid>
      <w:tr>
        <w:trPr/>
        <w:tc>
          <w:tcPr>
            <w:tcW w:w="73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Three Months Ended</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Six Months Ended </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Basis: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Office </w:t>
            </w:r>
            <w:r>
              <w:rPr>
                <w:rFonts w:ascii="Arial;sans-serif" w:hAnsi="Arial;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Mixed-Use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Same-store Cash NOI </w:t>
            </w:r>
            <w:r>
              <w:rPr>
                <w:rFonts w:ascii="Arial;sans-serif" w:hAnsi="Arial;sans-serif"/>
                <w:b w:val="false"/>
                <w:color w:val="000000"/>
                <w:sz w:val="13"/>
              </w:rPr>
              <w:t>(3)(4)</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r>
        <w:trPr/>
        <w:tc>
          <w:tcPr>
            <w:tcW w:w="199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4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(1)    For the three months ended June 30, 2026, the same-store portfolio includes: (i) Genesee Park (multifamily), which was acquired on February 28, 2025, and (ii) La Jolla Commons III (office), which was placed into service on April 1, 2025. The same-store portfolio excludes land held for development. </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(2)    For the six months ended June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 </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(3)    Office same-store cash NOI and total same-store cash NOI include the impact of a one-time reserve for certain receivables related to an office tenant at Coastal Collection at Torrey Reserve. The company continues to pursue recovery of the outstanding amounts. Excluding this reserve, office same-store cash NOI would have increased 2.4% and 0.8% for the three and six months ended June 30, 2026, respectively, and total same-store cash NOI would have increased 1.3% and 0.4% for the respective periods, each compared to the corresponding periods in 2025.</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(4)    Lease termination fees and tenant improvement reimbursements are excluded from same-store cash NOI to provide a more accurate measure of operating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Same-store cash NOI is a non-GAAP supplemental earnings measure which the company considers meaningful in measuring its operating performance. A reconciliation of same-store cash NOI to net income is attached to this press release.</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Credit Facility</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On April 1, 2026, our credit facility was amended and restated to, among other things, increase the revolving line of credit from $400 million to $500 million, extend the maturity date of the restated $500 million revolving line of credit to April 1, 2030 (with two, six-month extension options), and extend the maturity of the $100 million term loan included within the credit facility to April 1, 2030 (with one, twelve-month extension option). As of June 30, 2026, the only amount outstanding under the credit facility was the $100 million term loan.</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Balance Sheet and Liquidity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June 30, 2026, the company had gross real estate assets of $3.8 billion and liquidity of $609.7 million, comprised of cash and cash equivalents of $109.7 million and $500.0 million of availability on its line of credit. At June 30, 2026, the company had only 1 out of 31 assets encumbered by a mortgage. </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Dividends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declared dividends on its shares of common stock of $0.34 per share for the second quarter of 2026. The dividends were paid on June 18,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company has declared a dividend on its common stock of $0.34 per share for the third quarter of 2026. The dividend will be paid in cash on September 17, 2026 to stockholders of record as of September 3, 2026. </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Guidance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affirms its guidance range for full year 2026 FFO per diluted share of $1.96 to $2.10 per share, with a midpoint of $2.03.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guidance excludes any impact from future acquisitions, dispositions, equity issuances or repurchases, debt financing or repayments. The foregoing estimates are forward-looking and reflect management's view of current and future market conditions, including certain assumptions with respect to leasing activity, rental rates, occupancy levels, interest rates, credit spreads and the amount and timing of acquisition and development activities. The company's actual results may differ materially from these estimates.</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lineRule="auto" w:line="288" w:before="0" w:after="0"/>
        <w:jc w:val="left"/>
        <w:rPr/>
      </w:pPr>
      <w:r>
        <w:rPr>
          <w:rFonts w:ascii="Arial;sans-serif" w:hAnsi="Arial;sans-serif"/>
          <w:b w:val="false"/>
          <w:color w:val="000000"/>
          <w:sz w:val="20"/>
        </w:rPr>
        <w:t>The company will hold a conference call to discuss the results for the second</w:t>
      </w:r>
      <w:r>
        <w:rPr>
          <w:color w:val="000000"/>
        </w:rPr>
        <w:t xml:space="preserve"> </w:t>
      </w:r>
      <w:r>
        <w:rPr>
          <w:rFonts w:ascii="Arial;sans-serif" w:hAnsi="Arial;sans-serif"/>
          <w:b w:val="false"/>
          <w:color w:val="000000"/>
          <w:sz w:val="20"/>
        </w:rPr>
        <w:t>quarter of 2026 on Wednesday, July 29, 2026 at 8:00 a.m. Pacific Time. To participate in the event by telephone, please dial 1-833-816-1162 and ask to join the American Assets Trust, Inc. conference call. A live on-demand audio webcast of the conference call will be available on the company's website at www.americanassetstrust.com. A replay of the call will also be available on the company's website.</w: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u w:val="single"/>
        </w:rPr>
      </w:pPr>
      <w:r>
        <w:rPr>
          <w:rFonts w:ascii="Arial;sans-serif" w:hAnsi="Arial;sans-serif"/>
          <w:b/>
          <w:color w:val="000000"/>
          <w:sz w:val="20"/>
          <w:u w:val="single"/>
        </w:rPr>
        <w:t>Supplemental Information</w:t>
      </w:r>
    </w:p>
    <w:p>
      <w:pPr>
        <w:pStyle w:val="TextBody"/>
        <w:bidi w:val="0"/>
        <w:spacing w:lineRule="auto" w:line="288" w:before="0" w:after="0"/>
        <w:jc w:val="left"/>
        <w:rPr/>
      </w:pPr>
      <w:r>
        <w:rPr>
          <w:rFonts w:ascii="Arial;sans-serif" w:hAnsi="Arial;sans-serif"/>
          <w:b w:val="false"/>
          <w:color w:val="000000"/>
          <w:sz w:val="20"/>
        </w:rPr>
        <w:t xml:space="preserve">Supplemental financial information regarding the company's second quarter 2026 results may be found on the "Financial Reporting" tab of the “Investors” page of the company's website at </w:t>
      </w:r>
      <w:r>
        <w:rPr>
          <w:rFonts w:ascii="Arial;sans-serif" w:hAnsi="Arial;sans-serif"/>
          <w:b w:val="false"/>
          <w:color w:val="0000FF"/>
          <w:sz w:val="20"/>
          <w:u w:val="single"/>
        </w:rPr>
        <w:t>www.americanassetstrust.com</w:t>
      </w:r>
      <w:r>
        <w:rPr>
          <w:rFonts w:ascii="Arial;sans-serif" w:hAnsi="Arial;sans-serif"/>
          <w:b w:val="false"/>
          <w:color w:val="000000"/>
          <w:sz w:val="20"/>
        </w:rPr>
        <w:t xml:space="preserve">. This supplemental information provides additional detail on items such as property occupancy, financial performance by property and debt maturity schedules.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Assets Trust,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458"/>
        <w:gridCol w:w="1802"/>
        <w:gridCol w:w="1785"/>
        <w:gridCol w:w="227"/>
        <w:gridCol w:w="227"/>
        <w:gridCol w:w="225"/>
        <w:gridCol w:w="519"/>
        <w:gridCol w:w="520"/>
        <w:gridCol w:w="147"/>
        <w:gridCol w:w="109"/>
        <w:gridCol w:w="109"/>
        <w:gridCol w:w="109"/>
        <w:gridCol w:w="208"/>
        <w:gridCol w:w="208"/>
        <w:gridCol w:w="208"/>
        <w:gridCol w:w="519"/>
        <w:gridCol w:w="520"/>
        <w:gridCol w:w="305"/>
      </w:tblGrid>
      <w:tr>
        <w:trPr/>
        <w:tc>
          <w:tcPr>
            <w:tcW w:w="245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865"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 estate, at cost</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real estate</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3,718,569 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3,694,203 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68,937 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Held for development</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3,807,212 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3,763,627 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(1,195,972)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(1,144,259)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real estate</w:t>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2,611,240 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2,619,368 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129,362 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rent receivables, net</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84,642 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net</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80,497 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2,892,533 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2,921,276 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Secured notes payable, net</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74,849 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notes payable, net</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1,613,061 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1,612,761 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Security deposits payable</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and deferred credits, net</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1,838,451 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1,830,071 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American Assets Trust, Inc. stockholders' equity</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$0.01 par value, 490,000,000 shares authorized, 61,404,213 and 61,390,936 shares issued and outstanding at June 30, 2026 and December 31, 2025, respectively</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1,483,234 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1,479,870 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dividends in excess of net income</w:t>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(331,086)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Accumulated other comprehensive income </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American Assets Trust, Inc. stockholders' equity</w:t>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1,122,214 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1,150,817 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1,054,082 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1,091,205 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67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2,892,533 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2,921,276 </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Assets Trust,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1645"/>
        <w:gridCol w:w="1293"/>
        <w:gridCol w:w="1299"/>
        <w:gridCol w:w="222"/>
        <w:gridCol w:w="904"/>
        <w:gridCol w:w="109"/>
        <w:gridCol w:w="109"/>
        <w:gridCol w:w="109"/>
        <w:gridCol w:w="109"/>
        <w:gridCol w:w="222"/>
        <w:gridCol w:w="904"/>
        <w:gridCol w:w="109"/>
        <w:gridCol w:w="109"/>
        <w:gridCol w:w="109"/>
        <w:gridCol w:w="109"/>
        <w:gridCol w:w="222"/>
        <w:gridCol w:w="904"/>
        <w:gridCol w:w="109"/>
        <w:gridCol w:w="109"/>
        <w:gridCol w:w="109"/>
        <w:gridCol w:w="109"/>
        <w:gridCol w:w="222"/>
        <w:gridCol w:w="904"/>
        <w:gridCol w:w="156"/>
      </w:tblGrid>
      <w:tr>
        <w:trPr/>
        <w:tc>
          <w:tcPr>
            <w:tcW w:w="164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income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 estate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real estate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restricted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unitholders in the Operating Partnership</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Net income attributable to American Assets Trust, Inc. stockholders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per share</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Basic income attributable to common stockholders per share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shares of common stock outstanding - basic</w:t>
            </w:r>
          </w:p>
        </w:tc>
        <w:tc>
          <w:tcPr>
            <w:tcW w:w="11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60,703,355 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60,540,125 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60,700,533 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60,538,720 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income attributable to common stockholders per share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shares of common stock outstanding - diluted</w:t>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76,884,892 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76,721,662 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76,882,070 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76,720,257 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Dividends declared per common share</w:t>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Net Income to Funds From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FFO attributable to common stockholders and operating partnership unitholders and reconciliation to net income is as follows (in thousands except shares and per share data, unaudited):</w:t>
      </w:r>
    </w:p>
    <w:tbl>
      <w:tblPr>
        <w:tblW w:w="10205" w:type="dxa"/>
        <w:jc w:val="left"/>
        <w:tblInd w:w="0" w:type="dxa"/>
        <w:tblLayout w:type="fixed"/>
        <w:tblCellMar>
          <w:top w:w="28" w:type="dxa"/>
          <w:left w:w="28" w:type="dxa"/>
          <w:bottom w:w="28" w:type="dxa"/>
          <w:right w:w="28" w:type="dxa"/>
        </w:tblCellMar>
      </w:tblPr>
      <w:tblGrid>
        <w:gridCol w:w="1846"/>
        <w:gridCol w:w="1618"/>
        <w:gridCol w:w="1627"/>
        <w:gridCol w:w="322"/>
        <w:gridCol w:w="322"/>
        <w:gridCol w:w="322"/>
        <w:gridCol w:w="605"/>
        <w:gridCol w:w="521"/>
        <w:gridCol w:w="331"/>
        <w:gridCol w:w="109"/>
        <w:gridCol w:w="109"/>
        <w:gridCol w:w="109"/>
        <w:gridCol w:w="279"/>
        <w:gridCol w:w="279"/>
        <w:gridCol w:w="279"/>
        <w:gridCol w:w="562"/>
        <w:gridCol w:w="564"/>
        <w:gridCol w:w="401"/>
      </w:tblGrid>
      <w:tr>
        <w:trPr/>
        <w:tc>
          <w:tcPr>
            <w:tcW w:w="184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r>
          </w:p>
        </w:tc>
      </w:tr>
      <w:tr>
        <w:trPr/>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Funds From Operations (FFO)</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Depreciation and amortization of real estate assets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65,023 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FFO, as defined by NAREIT</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39,502 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78,552 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Nonforfeitable dividends on restricted stock awards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FFO attributable to common stock and units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39,286 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78,120 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FFO per diluted share/unit</w:t>
            </w:r>
          </w:p>
        </w:tc>
        <w:tc>
          <w:tcPr>
            <w:tcW w:w="9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shares and units, diluted</w:t>
            </w:r>
          </w:p>
        </w:tc>
        <w:tc>
          <w:tcPr>
            <w:tcW w:w="966"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76,888,301 </w:t>
            </w:r>
          </w:p>
        </w:tc>
        <w:tc>
          <w:tcPr>
            <w:tcW w:w="3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76,882,369 </w:t>
            </w:r>
          </w:p>
        </w:tc>
        <w:tc>
          <w:tcPr>
            <w:tcW w:w="4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Same-Store Cash NOI to Net Income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reconciliation of Same-Store Cash NOI to Net Income is as follows (in thousands, unaudited):</w:t>
      </w:r>
    </w:p>
    <w:tbl>
      <w:tblPr>
        <w:tblW w:w="10205" w:type="dxa"/>
        <w:jc w:val="left"/>
        <w:tblInd w:w="0" w:type="dxa"/>
        <w:tblLayout w:type="fixed"/>
        <w:tblCellMar>
          <w:top w:w="28" w:type="dxa"/>
          <w:left w:w="28" w:type="dxa"/>
          <w:bottom w:w="28" w:type="dxa"/>
          <w:right w:w="28" w:type="dxa"/>
        </w:tblCellMar>
      </w:tblPr>
      <w:tblGrid>
        <w:gridCol w:w="1758"/>
        <w:gridCol w:w="1463"/>
        <w:gridCol w:w="1463"/>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7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Three Months Ended</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Six Months Ended </w:t>
            </w:r>
            <w:r>
              <w:rPr>
                <w:rFonts w:ascii="Arial;sans-serif" w:hAnsi="Arial;sans-serif"/>
                <w:b/>
                <w:color w:val="000000"/>
                <w:sz w:val="13"/>
              </w:rPr>
              <w:t>(2)</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Same-store cash NOI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Non-same-store cash NOI</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NOI</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Lease termination fees and tenant improvement reimbursements </w:t>
            </w:r>
            <w:r>
              <w:rPr>
                <w:rFonts w:ascii="Arial;sans-serif" w:hAnsi="Arial;sans-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Non-cash revenue and other operating expenses </w:t>
            </w:r>
            <w:r>
              <w:rPr>
                <w:rFonts w:ascii="Arial;sans-serif" w:hAnsi="Arial;sans-serif"/>
                <w:b w:val="false"/>
                <w:color w:val="000000"/>
                <w:sz w:val="13"/>
              </w:rPr>
              <w:t>(4)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real estate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properties included in same-store analysis</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bl>
    <w:p>
      <w:pPr>
        <w:pStyle w:val="TextBody"/>
        <w:bidi w:val="0"/>
        <w:spacing w:before="0" w:after="0"/>
        <w:ind w:left="0" w:right="0" w:hanging="180"/>
        <w:jc w:val="left"/>
        <w:rPr/>
      </w:pPr>
      <w:r>
        <w:rPr/>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(1)    For the three months ended June 30, 2026, the same-store portfolio includes: (i) Genesee Park (multifamily), which was acquired on February 28, 2025, and (ii) La Jolla Commons III (office), which was placed into service on April 1, 2025. The same-store portfolio excludes land held for development. </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 xml:space="preserve">(2)    For the six months ended June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 </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(3)    Lease termination fees and tenant improvement reimbursements are excluded from same-store cash NOI to provide a more accurate measure of operating performance.</w:t>
      </w:r>
    </w:p>
    <w:p>
      <w:pPr>
        <w:pStyle w:val="TextBody"/>
        <w:bidi w:val="0"/>
        <w:spacing w:lineRule="auto" w:line="288" w:before="0" w:after="20"/>
        <w:ind w:left="0" w:right="0" w:hanging="360"/>
        <w:jc w:val="left"/>
        <w:rPr>
          <w:rFonts w:ascii="Arial;sans-serif" w:hAnsi="Arial;sans-serif"/>
          <w:b w:val="false"/>
          <w:color w:val="000000"/>
          <w:sz w:val="14"/>
        </w:rPr>
      </w:pPr>
      <w:r>
        <w:rPr>
          <w:rFonts w:ascii="Arial;sans-serif" w:hAnsi="Arial;sans-serif"/>
          <w:b w:val="false"/>
          <w:color w:val="000000"/>
          <w:sz w:val="14"/>
        </w:rPr>
        <w:t>(4)    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 of the Annex at The Landmark at One Market.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Reported results are preliminary and not final until the filing of the company's Form 10-Q with the Securities and Exchange Commission and, therefore, remain subject to adjustment.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Non-GAAP Information</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Funds from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calculates FFO in accordance with the standards established by the National Association of Real Estate Investment Trusts ("NAREIT"). FFO represents net income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FFO is a supplemental non-GAAP financial measure. Management uses FFO as a supplemental performance measure because it believes that FFO is beneficial to investors as a starting point in measuring the company's operational performance. Specifically, in excluding real estate related depreciation and amortization and gains and losses from property dispositions, which do not relate to or are not indicative of operating performance, FFO provides a performance measure that, when compared year-over-year, captures trends in occupancy rates, rental rates and operating costs. The company also believes that, as a widely recognized measure of the performance of REITs, FFO will be used by investors as a basis to compare the company's operating performance with that of other REITs. However, because FFO excludes depreciation and amortization and captures neither the changes in the value of the company's properties that result from use or market conditions nor the level of capital expenditures and leasing commissions necessary to maintain the operating performance of the company's properties, all of which have real economic effects and could materially impact the company's results from operations, the utility of FFO as a measure of the company's performance is limited. In addition, other equity REITs may not calculate FFO in accordance with the NAREIT definition as the company does, and, accordingly, the company's FFO may not be comparable to such other REITs' FFO. Accordingly, FFO should be considered only as a supplement to net income as a measure of the company's performance. FFO should not be used as a measure of the company's liquidity, nor is it indicative of funds available to fund the company's cash needs, including the company's ability to pay dividends or service indebtedness. FFO also should not be used as a supplement to or substitute for cash flow from operating activities computed in accordance with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Cash Net Operating Income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uses NOI internally to evaluate and compare the operating performance of the company's properties. The company believes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The company believes the exclusion of these items from net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NOI is a non-GAAP financial measure of performance. The company defines cash NOI as operating revenues (rental income, tenant reimbursements (other than tenant improvement reimbursements), ground lease rental income and other property income) less property and 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the company's cash NOI may not be comparable to the cash NOIs of other REITs.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American Assets Trust,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American Assets Trust, Inc. is a full service, vertically integrated and self-administered real estate investment trust ("REIT"), headquartered in San Diego, California. The company has over 55 years of experience in acquiring, improving, developing and managing premier office, retail, and residential properties throughout the United States in some of the nation’s most dynamic, high-barrier-to-entry markets primarily in Southern California, Northern California, Washington, Oregon, Texas and Hawaii. The company's office portfolio comprises approximately 4.3 million rentable square feet, and its retail portfolio comprises approximately 2.4 million rentable square feet. In addition, the company owns one mixed-use property (including approximately 94,000 rentable square feet of retail space and a 369-room all-suite hotel) and 2,302 multifamily units. In 2011, the company was formed to succeed to the real estate business of American Assets, Inc., a privately held corporation founded in 1967 and, as such, has significant experience, long-standing relationships and extensive knowledge of its core markets, submarkets and asset classes. For additional information, please visit www.americanassetstrust.com.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press release may contain forward-looking statements within the meaning of the federal securities laws, which are based on current expectations, forecasts and assumptions that involve risks and uncertainties that could cause actual outcomes and results to differ materially.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 While forward-looking statements reflect the company's good faith beliefs, assumptions and expectations, they are not guarantees of future performance. For a further discussion of these and other factors that could cause the company's future results to differ materially from any forward-looking statements, see the section entitled “Risk Factors” in the company's most recent annual report on Form 10-K, and other risks described in documents subsequently filed by the company from time to time with the Securities and Exchange Commission. The company disclaims any obligation to publicly update or revise any forward-looking statement to reflect changes in underlying assumptions or factors, of new information, data or methods, future events or other changes.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Source: American Assets Trust, Inc.</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and 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American Assets Trust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Robert F. Barton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858-350-2607</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7046" w:type="dxa"/>
        <w:jc w:val="left"/>
        <w:tblInd w:w="0" w:type="dxa"/>
        <w:tblLayout w:type="fixed"/>
        <w:tblCellMar>
          <w:top w:w="28" w:type="dxa"/>
          <w:left w:w="28" w:type="dxa"/>
          <w:bottom w:w="28" w:type="dxa"/>
          <w:right w:w="28" w:type="dxa"/>
        </w:tblCellMar>
      </w:tblPr>
      <w:tblGrid>
        <w:gridCol w:w="124"/>
        <w:gridCol w:w="109"/>
        <w:gridCol w:w="109"/>
        <w:gridCol w:w="1964"/>
        <w:gridCol w:w="196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33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16" w:space="0" w:color="0033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56"/>
              </w:rPr>
            </w:pPr>
            <w:r>
              <w:rPr>
                <w:rFonts w:ascii="Times New Roman;serif" w:hAnsi="Times New Roman;serif"/>
                <w:b/>
                <w:color w:val="003399"/>
                <w:sz w:val="56"/>
              </w:rPr>
              <w:t>SECOND QUARTER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44"/>
              </w:rPr>
            </w:pPr>
            <w:r>
              <w:rPr>
                <w:rFonts w:ascii="Times New Roman;serif" w:hAnsi="Times New Roman;serif"/>
                <w:b/>
                <w:color w:val="003399"/>
                <w:sz w:val="44"/>
              </w:rPr>
              <w:t>Supplemental Information</w:t>
            </w:r>
          </w:p>
        </w:tc>
      </w:tr>
      <w:tr>
        <w:trPr/>
        <w:tc>
          <w:tcPr>
            <w:tcW w:w="342" w:type="dxa"/>
            <w:gridSpan w:val="3"/>
            <w:tcBorders>
              <w:bottom w:val="single" w:sz="16" w:space="0" w:color="0033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bottom w:val="single" w:sz="16" w:space="0" w:color="0033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9144000" cy="272415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144000" cy="27241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tbl>
      <w:tblPr>
        <w:tblW w:w="6896" w:type="dxa"/>
        <w:jc w:val="left"/>
        <w:tblInd w:w="0" w:type="dxa"/>
        <w:tblLayout w:type="fixed"/>
        <w:tblCellMar>
          <w:top w:w="28" w:type="dxa"/>
          <w:left w:w="28" w:type="dxa"/>
          <w:bottom w:w="28" w:type="dxa"/>
          <w:right w:w="28" w:type="dxa"/>
        </w:tblCellMar>
      </w:tblPr>
      <w:tblGrid>
        <w:gridCol w:w="1428"/>
        <w:gridCol w:w="1253"/>
        <w:gridCol w:w="1264"/>
        <w:gridCol w:w="864"/>
        <w:gridCol w:w="864"/>
        <w:gridCol w:w="1223"/>
      </w:tblGrid>
      <w:tr>
        <w:trPr/>
        <w:tc>
          <w:tcPr>
            <w:tcW w:w="1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90700" cy="9334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790700" cy="933450"/>
                          </a:xfrm>
                          <a:prstGeom prst="rect">
                            <a:avLst/>
                          </a:prstGeom>
                        </pic:spPr>
                      </pic:pic>
                    </a:graphicData>
                  </a:graphic>
                </wp:inline>
              </w:drawing>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16"/>
              </w:rPr>
            </w:pPr>
            <w:r>
              <w:rPr>
                <w:rFonts w:ascii="Times New Roman;serif" w:hAnsi="Times New Roman;serif"/>
                <w:b/>
                <w:color w:val="003399"/>
                <w:sz w:val="16"/>
              </w:rPr>
              <w:t>Investor and Media Contact</w:t>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16"/>
              </w:rPr>
            </w:pPr>
            <w:r>
              <w:rPr>
                <w:rFonts w:ascii="Times New Roman;serif" w:hAnsi="Times New Roman;serif"/>
                <w:b/>
                <w:color w:val="003399"/>
                <w:sz w:val="16"/>
              </w:rPr>
              <w:t>American Assets Trust, Inc.</w:t>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16"/>
              </w:rPr>
            </w:pPr>
            <w:r>
              <w:rPr>
                <w:rFonts w:ascii="Times New Roman;serif" w:hAnsi="Times New Roman;serif"/>
                <w:b/>
                <w:color w:val="003399"/>
                <w:sz w:val="16"/>
              </w:rPr>
              <w:t>Robert F. Barton</w:t>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16"/>
              </w:rPr>
            </w:pPr>
            <w:r>
              <w:rPr>
                <w:rFonts w:ascii="Times New Roman;serif" w:hAnsi="Times New Roman;serif"/>
                <w:b/>
                <w:color w:val="003399"/>
                <w:sz w:val="16"/>
              </w:rPr>
              <w:t>Executive Vice President and Chief Financial Officer</w:t>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99"/>
                <w:sz w:val="16"/>
              </w:rPr>
            </w:pPr>
            <w:r>
              <w:rPr>
                <w:rFonts w:ascii="Times New Roman;serif" w:hAnsi="Times New Roman;serif"/>
                <w:b/>
                <w:color w:val="003399"/>
                <w:sz w:val="16"/>
              </w:rPr>
              <w:t>858-350-2607</w:t>
            </w:r>
          </w:p>
        </w:tc>
        <w:tc>
          <w:tcPr>
            <w:tcW w:w="295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7"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538" w:type="dxa"/>
        <w:jc w:val="left"/>
        <w:tblInd w:w="0" w:type="dxa"/>
        <w:tblLayout w:type="fixed"/>
        <w:tblCellMar>
          <w:top w:w="28" w:type="dxa"/>
          <w:left w:w="28" w:type="dxa"/>
          <w:bottom w:w="28" w:type="dxa"/>
          <w:right w:w="28" w:type="dxa"/>
        </w:tblCellMar>
      </w:tblPr>
      <w:tblGrid>
        <w:gridCol w:w="124"/>
        <w:gridCol w:w="109"/>
        <w:gridCol w:w="109"/>
        <w:gridCol w:w="350"/>
        <w:gridCol w:w="350"/>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676275" cy="352425"/>
                          </a:xfrm>
                          <a:prstGeom prst="rect">
                            <a:avLst/>
                          </a:prstGeom>
                        </pic:spPr>
                      </pic:pic>
                    </a:graphicData>
                  </a:graphic>
                </wp:inline>
              </w:drawing>
            </w:r>
          </w:p>
        </w:tc>
      </w:tr>
      <w:tr>
        <w:trPr/>
        <w:tc>
          <w:tcPr>
            <w:tcW w:w="342"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American Assets Trust, Inc.'s Portfolio is concentrated in high-barrier-to-entry markets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with favorable supply/demand characteristics</w:t>
      </w:r>
    </w:p>
    <w:tbl>
      <w:tblPr>
        <w:tblW w:w="15799" w:type="dxa"/>
        <w:jc w:val="center"/>
        <w:tblInd w:w="0" w:type="dxa"/>
        <w:tblLayout w:type="fixed"/>
        <w:tblCellMar>
          <w:top w:w="28" w:type="dxa"/>
          <w:left w:w="28" w:type="dxa"/>
          <w:bottom w:w="28" w:type="dxa"/>
          <w:right w:w="28" w:type="dxa"/>
        </w:tblCellMar>
      </w:tblPr>
      <w:tblGrid>
        <w:gridCol w:w="2919"/>
        <w:gridCol w:w="2565"/>
        <w:gridCol w:w="2567"/>
        <w:gridCol w:w="379"/>
        <w:gridCol w:w="336"/>
        <w:gridCol w:w="231"/>
        <w:gridCol w:w="109"/>
        <w:gridCol w:w="109"/>
        <w:gridCol w:w="109"/>
        <w:gridCol w:w="488"/>
        <w:gridCol w:w="488"/>
        <w:gridCol w:w="243"/>
        <w:gridCol w:w="109"/>
        <w:gridCol w:w="109"/>
        <w:gridCol w:w="109"/>
        <w:gridCol w:w="488"/>
        <w:gridCol w:w="488"/>
        <w:gridCol w:w="243"/>
        <w:gridCol w:w="109"/>
        <w:gridCol w:w="109"/>
        <w:gridCol w:w="109"/>
        <w:gridCol w:w="308"/>
        <w:gridCol w:w="308"/>
        <w:gridCol w:w="182"/>
        <w:gridCol w:w="182"/>
        <w:gridCol w:w="182"/>
        <w:gridCol w:w="186"/>
        <w:gridCol w:w="369"/>
        <w:gridCol w:w="352"/>
        <w:gridCol w:w="241"/>
        <w:gridCol w:w="111"/>
        <w:gridCol w:w="111"/>
        <w:gridCol w:w="111"/>
        <w:gridCol w:w="233"/>
        <w:gridCol w:w="233"/>
        <w:gridCol w:w="274"/>
      </w:tblGrid>
      <w:tr>
        <w:trPr/>
        <w:tc>
          <w:tcPr>
            <w:tcW w:w="291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8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048250" cy="36671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5048250" cy="3667125"/>
                          </a:xfrm>
                          <a:prstGeom prst="rect">
                            <a:avLst/>
                          </a:prstGeom>
                        </pic:spPr>
                      </pic:pic>
                    </a:graphicData>
                  </a:graphic>
                </wp:inline>
              </w:drawing>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03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Mixed-Use </w:t>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Square Feet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Square Feet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Units</w:t>
            </w:r>
          </w:p>
        </w:tc>
        <w:tc>
          <w:tcPr>
            <w:tcW w:w="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Square Feet</w:t>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Suites</w:t>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San Diego</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1,802,809 </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1,322,200 </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72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Bellevue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1,028,470 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Portland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930,903 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San Antonio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588,148 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San Francisco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511,493 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Oahu</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430,288 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left w:val="single" w:sz="8" w:space="0" w:color="000000"/>
            </w:tcBorders>
            <w:shd w:fill="0A2299"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Total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4,273,675 </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2,419,969 </w:t>
            </w:r>
          </w:p>
        </w:tc>
        <w:tc>
          <w:tcPr>
            <w:tcW w:w="2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67"/>
        <w:gridCol w:w="1993"/>
        <w:gridCol w:w="1998"/>
        <w:gridCol w:w="244"/>
        <w:gridCol w:w="222"/>
        <w:gridCol w:w="223"/>
        <w:gridCol w:w="109"/>
        <w:gridCol w:w="109"/>
        <w:gridCol w:w="109"/>
        <w:gridCol w:w="210"/>
        <w:gridCol w:w="211"/>
        <w:gridCol w:w="133"/>
        <w:gridCol w:w="237"/>
        <w:gridCol w:w="237"/>
        <w:gridCol w:w="247"/>
        <w:gridCol w:w="109"/>
        <w:gridCol w:w="109"/>
        <w:gridCol w:w="109"/>
        <w:gridCol w:w="124"/>
        <w:gridCol w:w="124"/>
        <w:gridCol w:w="124"/>
        <w:gridCol w:w="109"/>
        <w:gridCol w:w="109"/>
        <w:gridCol w:w="109"/>
        <w:gridCol w:w="182"/>
        <w:gridCol w:w="182"/>
        <w:gridCol w:w="266"/>
      </w:tblGrid>
      <w:tr>
        <w:trPr/>
        <w:tc>
          <w:tcPr>
            <w:tcW w:w="226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shd w:fill="99999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Square Feet</w:t>
            </w:r>
          </w:p>
        </w:tc>
        <w:tc>
          <w:tcPr>
            <w:tcW w:w="327"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999999"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NOI % </w:t>
            </w:r>
            <w:r>
              <w:rPr>
                <w:rFonts w:ascii="Times New Roman;serif" w:hAnsi="Times New Roman;serif"/>
                <w:b/>
                <w:color w:val="000000"/>
                <w:sz w:val="13"/>
              </w:rPr>
              <w:t>(2)</w:t>
            </w:r>
          </w:p>
        </w:tc>
      </w:tr>
      <w:tr>
        <w:trPr/>
        <w:tc>
          <w:tcPr>
            <w:tcW w:w="62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Circled areas represent all markets in which American Assets Trust, Inc. currently owns and operates its real estate properties. Net rentable square footage may be adjusted from the prior periods to reflect re-measurement of leased space at the properties.</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w:t>
            </w:r>
          </w:p>
        </w:tc>
      </w:tr>
      <w:tr>
        <w:trPr/>
        <w:tc>
          <w:tcPr>
            <w:tcW w:w="6258" w:type="dxa"/>
            <w:gridSpan w:val="3"/>
            <w:vMerge w:val="continue"/>
            <w:tcBorders/>
            <w:tcMar>
              <w:top w:w="0" w:type="dxa"/>
              <w:left w:w="0" w:type="dxa"/>
              <w:bottom w:w="0" w:type="dxa"/>
              <w:right w:w="0" w:type="dxa"/>
            </w:tcMar>
            <w:vAlign w:val="center"/>
          </w:tcPr>
          <w:p>
            <w:pPr>
              <w:pStyle w:val="Normal"/>
              <w:bidi w:val="0"/>
              <w:jc w:val="left"/>
              <w:rPr/>
            </w:pPr>
            <w:r>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Retail </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w:t>
            </w:r>
          </w:p>
        </w:tc>
      </w:tr>
      <w:tr>
        <w:trPr/>
        <w:tc>
          <w:tcPr>
            <w:tcW w:w="6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is as of June 30, 2026.</w:t>
            </w:r>
          </w:p>
        </w:tc>
        <w:tc>
          <w:tcPr>
            <w:tcW w:w="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120 RV spaces.</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Percentage of Net Operating Income (NOI) calculated for the three months ended June 30, 2026. NOI is a non-GAAP supplemental earnings measure which we consider meaningful in measuring our operating performance. Reconciliations of NOI to net income are included in the Glossary of Terms.</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Does not include mixed-use retail.</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91845"/>
                <wp:effectExtent l="0" t="0" r="0" b="0"/>
                <wp:wrapNone/>
                <wp:docPr id="20" name="Frame14"/>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3366"/>
                                      <w:sz w:val="20"/>
                                    </w:rPr>
                                  </w:pPr>
                                  <w:r>
                                    <w:rPr>
                                      <w:rFonts w:ascii="Times New Roman;serif" w:hAnsi="Times New Roman;serif"/>
                                      <w:b w:val="false"/>
                                      <w:color w:val="003366"/>
                                      <w:sz w:val="20"/>
                                    </w:rPr>
                                    <w:t>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3366"/>
                                <w:sz w:val="20"/>
                              </w:rPr>
                            </w:pPr>
                            <w:r>
                              <w:rPr>
                                <w:rFonts w:ascii="Times New Roman;serif" w:hAnsi="Times New Roman;serif"/>
                                <w:b w:val="false"/>
                                <w:color w:val="003366"/>
                                <w:sz w:val="20"/>
                              </w:rPr>
                              <w:t>Page 2</w:t>
                            </w:r>
                          </w:p>
                        </w:tc>
                      </w:tr>
                    </w:tbl>
                    <w:p>
                      <w:pPr>
                        <w:pStyle w:val="TextBody"/>
                        <w:bidi w:val="0"/>
                        <w:spacing w:before="0" w:after="283"/>
                        <w:jc w:val="left"/>
                        <w:rPr/>
                      </w:pPr>
                      <w:r>
                        <w:rPr/>
                      </w:r>
                    </w:p>
                  </w:txbxContent>
                </v:textbox>
                <w10:wrap type="none"/>
              </v:rect>
            </w:pict>
          </mc:Fallback>
        </mc:AlternateContent>
      </w:r>
    </w:p>
    <w:tbl>
      <w:tblPr>
        <w:tblW w:w="2322" w:type="dxa"/>
        <w:jc w:val="left"/>
        <w:tblInd w:w="0" w:type="dxa"/>
        <w:tblLayout w:type="fixed"/>
        <w:tblCellMar>
          <w:top w:w="28" w:type="dxa"/>
          <w:left w:w="28" w:type="dxa"/>
          <w:bottom w:w="28" w:type="dxa"/>
          <w:right w:w="28" w:type="dxa"/>
        </w:tblCellMar>
      </w:tblPr>
      <w:tblGrid>
        <w:gridCol w:w="408"/>
        <w:gridCol w:w="358"/>
        <w:gridCol w:w="360"/>
        <w:gridCol w:w="350"/>
        <w:gridCol w:w="350"/>
        <w:gridCol w:w="49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INDEX</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676275" cy="352425"/>
                          </a:xfrm>
                          <a:prstGeom prst="rect">
                            <a:avLst/>
                          </a:prstGeom>
                        </pic:spPr>
                      </pic:pic>
                    </a:graphicData>
                  </a:graphic>
                </wp:inline>
              </w:drawing>
            </w:r>
          </w:p>
        </w:tc>
      </w:tr>
      <w:tr>
        <w:trPr/>
        <w:tc>
          <w:tcPr>
            <w:tcW w:w="112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69" w:type="dxa"/>
        <w:jc w:val="left"/>
        <w:tblInd w:w="0" w:type="dxa"/>
        <w:tblLayout w:type="fixed"/>
        <w:tblCellMar>
          <w:top w:w="28" w:type="dxa"/>
          <w:left w:w="28" w:type="dxa"/>
          <w:bottom w:w="28" w:type="dxa"/>
          <w:right w:w="28" w:type="dxa"/>
        </w:tblCellMar>
      </w:tblPr>
      <w:tblGrid>
        <w:gridCol w:w="124"/>
        <w:gridCol w:w="109"/>
        <w:gridCol w:w="109"/>
        <w:gridCol w:w="1984"/>
        <w:gridCol w:w="1984"/>
        <w:gridCol w:w="19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SECOND QUARTER 2026 SUPPLEMENTAL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w:t>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HIGHLIGHTS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13">
              <w:r>
                <w:rPr>
                  <w:rStyle w:val="InternetLink"/>
                  <w:rFonts w:ascii="Times New Roman;serif" w:hAnsi="Times New Roman;serif"/>
                  <w:b/>
                  <w:strike w:val="false"/>
                  <w:dstrike w:val="false"/>
                  <w:color w:val="0000FF"/>
                  <w:sz w:val="16"/>
                  <w:u w:val="none"/>
                  <w:effect w:val="none"/>
                </w:rPr>
                <w:t>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16">
              <w:r>
                <w:rPr>
                  <w:rStyle w:val="InternetLink"/>
                  <w:rFonts w:ascii="Times New Roman;serif" w:hAnsi="Times New Roman;serif"/>
                  <w:b/>
                  <w:strike w:val="false"/>
                  <w:dstrike w:val="false"/>
                  <w:color w:val="0000FF"/>
                  <w:sz w:val="16"/>
                  <w:u w:val="none"/>
                  <w:effect w:val="none"/>
                </w:rPr>
                <w:t>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Funds From Operations (FFO), FFO As Adjusted &amp; Funds Available for Distribution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19">
              <w:r>
                <w:rPr>
                  <w:rStyle w:val="InternetLink"/>
                  <w:rFonts w:ascii="Times New Roman;serif" w:hAnsi="Times New Roman;serif"/>
                  <w:b/>
                  <w:strike w:val="false"/>
                  <w:dstrike w:val="false"/>
                  <w:color w:val="0000FF"/>
                  <w:sz w:val="16"/>
                  <w:u w:val="none"/>
                  <w:effect w:val="none"/>
                </w:rPr>
                <w:t>7</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95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Same-Store Net Operating Income (NOI)</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28">
              <w:r>
                <w:rPr>
                  <w:rStyle w:val="InternetLink"/>
                  <w:rFonts w:ascii="Times New Roman;serif" w:hAnsi="Times New Roman;serif"/>
                  <w:b/>
                  <w:strike w:val="false"/>
                  <w:dstrike w:val="false"/>
                  <w:color w:val="0000FF"/>
                  <w:sz w:val="16"/>
                  <w:u w:val="none"/>
                  <w:effect w:val="none"/>
                </w:rPr>
                <w:t>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Same-Store Cash NOI Comparison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34">
              <w:r>
                <w:rPr>
                  <w:rStyle w:val="InternetLink"/>
                  <w:rFonts w:ascii="Times New Roman;serif" w:hAnsi="Times New Roman;serif"/>
                  <w:b/>
                  <w:strike w:val="false"/>
                  <w:dstrike w:val="false"/>
                  <w:color w:val="0000FF"/>
                  <w:sz w:val="16"/>
                  <w:u w:val="none"/>
                  <w:effect w:val="none"/>
                </w:rPr>
                <w:t>11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NOI By Region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40">
              <w:r>
                <w:rPr>
                  <w:rStyle w:val="InternetLink"/>
                  <w:rFonts w:ascii="Times New Roman;serif" w:hAnsi="Times New Roman;serif"/>
                  <w:b/>
                  <w:strike w:val="false"/>
                  <w:dstrike w:val="false"/>
                  <w:color w:val="0000FF"/>
                  <w:sz w:val="16"/>
                  <w:u w:val="none"/>
                  <w:effect w:val="none"/>
                </w:rPr>
                <w:t>12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NOI Breakdown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43">
              <w:r>
                <w:rPr>
                  <w:rStyle w:val="InternetLink"/>
                  <w:rFonts w:ascii="Times New Roman;serif" w:hAnsi="Times New Roman;serif"/>
                  <w:b/>
                  <w:strike w:val="false"/>
                  <w:dstrike w:val="false"/>
                  <w:color w:val="0000FF"/>
                  <w:sz w:val="16"/>
                  <w:u w:val="none"/>
                  <w:effect w:val="none"/>
                </w:rPr>
                <w:t>13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Revenue and Operating Expenses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46">
              <w:r>
                <w:rPr>
                  <w:rStyle w:val="InternetLink"/>
                  <w:rFonts w:ascii="Times New Roman;serif" w:hAnsi="Times New Roman;serif"/>
                  <w:b/>
                  <w:strike w:val="false"/>
                  <w:dstrike w:val="false"/>
                  <w:color w:val="0000FF"/>
                  <w:sz w:val="16"/>
                  <w:u w:val="none"/>
                  <w:effect w:val="none"/>
                </w:rPr>
                <w:t>14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Capital Expenditures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52">
              <w:r>
                <w:rPr>
                  <w:rStyle w:val="InternetLink"/>
                  <w:rFonts w:ascii="Times New Roman;serif" w:hAnsi="Times New Roman;serif"/>
                  <w:b/>
                  <w:strike w:val="false"/>
                  <w:dstrike w:val="false"/>
                  <w:color w:val="0000FF"/>
                  <w:sz w:val="16"/>
                  <w:u w:val="none"/>
                  <w:effect w:val="none"/>
                </w:rPr>
                <w:t>17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Outstanding Debt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55">
              <w:r>
                <w:rPr>
                  <w:rStyle w:val="InternetLink"/>
                  <w:rFonts w:ascii="Times New Roman;serif" w:hAnsi="Times New Roman;serif"/>
                  <w:b/>
                  <w:strike w:val="false"/>
                  <w:dstrike w:val="false"/>
                  <w:color w:val="0000FF"/>
                  <w:sz w:val="16"/>
                  <w:u w:val="none"/>
                  <w:effect w:val="none"/>
                </w:rPr>
                <w:t>18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Capitalization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58">
              <w:r>
                <w:rPr>
                  <w:rStyle w:val="InternetLink"/>
                  <w:rFonts w:ascii="Times New Roman;serif" w:hAnsi="Times New Roman;serif"/>
                  <w:b/>
                  <w:strike w:val="false"/>
                  <w:dstrike w:val="false"/>
                  <w:color w:val="0000FF"/>
                  <w:sz w:val="16"/>
                  <w:u w:val="none"/>
                  <w:effect w:val="none"/>
                </w:rPr>
                <w:t>19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Development Opportunities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61">
              <w:r>
                <w:rPr>
                  <w:rStyle w:val="InternetLink"/>
                  <w:rFonts w:ascii="Times New Roman;serif" w:hAnsi="Times New Roman;serif"/>
                  <w:b/>
                  <w:strike w:val="false"/>
                  <w:dstrike w:val="false"/>
                  <w:color w:val="0000FF"/>
                  <w:sz w:val="16"/>
                  <w:u w:val="none"/>
                  <w:effect w:val="none"/>
                </w:rPr>
                <w:t>20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w:t>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PORTFOLIO DATA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Report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67">
              <w:r>
                <w:rPr>
                  <w:rStyle w:val="InternetLink"/>
                  <w:rFonts w:ascii="Times New Roman;serif" w:hAnsi="Times New Roman;serif"/>
                  <w:b/>
                  <w:strike w:val="false"/>
                  <w:dstrike w:val="false"/>
                  <w:color w:val="0000FF"/>
                  <w:sz w:val="16"/>
                  <w:u w:val="none"/>
                  <w:effect w:val="none"/>
                </w:rPr>
                <w:t>22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Leasing Summary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73">
              <w:r>
                <w:rPr>
                  <w:rStyle w:val="InternetLink"/>
                  <w:rFonts w:ascii="Times New Roman;serif" w:hAnsi="Times New Roman;serif"/>
                  <w:b/>
                  <w:strike w:val="false"/>
                  <w:dstrike w:val="false"/>
                  <w:color w:val="0000FF"/>
                  <w:sz w:val="16"/>
                  <w:u w:val="none"/>
                  <w:effect w:val="none"/>
                </w:rPr>
                <w:t>25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Leasing Summary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76">
              <w:r>
                <w:rPr>
                  <w:rStyle w:val="InternetLink"/>
                  <w:rFonts w:ascii="Times New Roman;serif" w:hAnsi="Times New Roman;serif"/>
                  <w:b/>
                  <w:strike w:val="false"/>
                  <w:dstrike w:val="false"/>
                  <w:color w:val="0000FF"/>
                  <w:sz w:val="16"/>
                  <w:u w:val="none"/>
                  <w:effect w:val="none"/>
                </w:rPr>
                <w:t>26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 Leasing Summary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79">
              <w:r>
                <w:rPr>
                  <w:rStyle w:val="InternetLink"/>
                  <w:rFonts w:ascii="Times New Roman;serif" w:hAnsi="Times New Roman;serif"/>
                  <w:b/>
                  <w:strike w:val="false"/>
                  <w:dstrike w:val="false"/>
                  <w:color w:val="0000FF"/>
                  <w:sz w:val="16"/>
                  <w:u w:val="none"/>
                  <w:effect w:val="none"/>
                </w:rPr>
                <w:t>27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Mixed-Use Leasing Summary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85">
              <w:r>
                <w:rPr>
                  <w:rStyle w:val="InternetLink"/>
                  <w:rFonts w:ascii="Times New Roman;serif" w:hAnsi="Times New Roman;serif"/>
                  <w:b/>
                  <w:strike w:val="false"/>
                  <w:dstrike w:val="false"/>
                  <w:color w:val="0000FF"/>
                  <w:sz w:val="16"/>
                  <w:u w:val="none"/>
                  <w:effect w:val="none"/>
                </w:rPr>
                <w:t>29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88">
              <w:r>
                <w:rPr>
                  <w:rStyle w:val="InternetLink"/>
                  <w:rFonts w:ascii="Times New Roman;serif" w:hAnsi="Times New Roman;serif"/>
                  <w:b/>
                  <w:strike w:val="false"/>
                  <w:dstrike w:val="false"/>
                  <w:color w:val="0000FF"/>
                  <w:sz w:val="16"/>
                  <w:u w:val="none"/>
                  <w:effect w:val="none"/>
                </w:rPr>
                <w:t>30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Portfolio Leased Statistics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94">
              <w:r>
                <w:rPr>
                  <w:rStyle w:val="InternetLink"/>
                  <w:rFonts w:ascii="Times New Roman;serif" w:hAnsi="Times New Roman;serif"/>
                  <w:b/>
                  <w:strike w:val="false"/>
                  <w:dstrike w:val="false"/>
                  <w:color w:val="0000FF"/>
                  <w:sz w:val="16"/>
                  <w:u w:val="none"/>
                  <w:effect w:val="none"/>
                </w:rPr>
                <w:t>32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Top Tenants - Office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97">
              <w:r>
                <w:rPr>
                  <w:rStyle w:val="InternetLink"/>
                  <w:rFonts w:ascii="Times New Roman;serif" w:hAnsi="Times New Roman;serif"/>
                  <w:b/>
                  <w:strike w:val="false"/>
                  <w:dstrike w:val="false"/>
                  <w:color w:val="0000FF"/>
                  <w:sz w:val="16"/>
                  <w:u w:val="none"/>
                  <w:effect w:val="none"/>
                </w:rPr>
                <w:t>33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Top Tenants - Retail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100">
              <w:r>
                <w:rPr>
                  <w:rStyle w:val="InternetLink"/>
                  <w:rFonts w:ascii="Times New Roman;serif" w:hAnsi="Times New Roman;serif"/>
                  <w:b/>
                  <w:strike w:val="false"/>
                  <w:dstrike w:val="false"/>
                  <w:color w:val="0000FF"/>
                  <w:sz w:val="16"/>
                  <w:u w:val="none"/>
                  <w:effect w:val="none"/>
                </w:rPr>
                <w:t>34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w:t>
            </w:r>
          </w:p>
        </w:tc>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APPENDIX</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Glossary of Terms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2a8f4ef3834754956b0a137e175c31_112">
              <w:r>
                <w:rPr>
                  <w:rStyle w:val="InternetLink"/>
                  <w:rFonts w:ascii="Times New Roman;serif" w:hAnsi="Times New Roman;serif"/>
                  <w:b/>
                  <w:strike w:val="false"/>
                  <w:dstrike w:val="false"/>
                  <w:color w:val="0000FF"/>
                  <w:sz w:val="16"/>
                  <w:u w:val="none"/>
                  <w:effect w:val="none"/>
                </w:rPr>
                <w:t>36</w:t>
              </w:r>
            </w:hyperlink>
          </w:p>
        </w:tc>
      </w:tr>
    </w:tbl>
    <w:p>
      <w:pPr>
        <w:pStyle w:val="TextBody"/>
        <w:bidi w:val="0"/>
        <w:spacing w:lineRule="auto" w:line="288" w:before="67" w:after="283"/>
        <w:jc w:val="left"/>
        <w:rPr>
          <w:rFonts w:ascii="Times New Roman;serif" w:hAnsi="Times New Roman;serif"/>
          <w:b w:val="false"/>
          <w:color w:val="000000"/>
          <w:sz w:val="14"/>
        </w:rPr>
      </w:pPr>
      <w:r>
        <w:rPr>
          <w:rFonts w:ascii="Times New Roman;serif" w:hAnsi="Times New Roman;serif"/>
          <w:b w:val="false"/>
          <w:color w:val="000000"/>
          <w:sz w:val="14"/>
        </w:rPr>
        <w:t>This Supplemental Information contains forward-looking statements within the meaning of the Private Securities Litigation Reform Act of 1995 (set forth in Section 27A of the Securities Act of 1933, as amended, or the Securities Act, and Section 21E of the Securities Exchange Act of 1934, as amended, or the Exchange Act). 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refer to our most recent Annual Report on Form 10-K and other risks described in documents subsequently filed by us from time to time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91845"/>
                <wp:effectExtent l="0" t="0" r="0" b="0"/>
                <wp:wrapNone/>
                <wp:docPr id="22" name="Frame15"/>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w:t>
                            </w:r>
                          </w:p>
                        </w:tc>
                      </w:tr>
                    </w:tbl>
                    <w:p>
                      <w:pPr>
                        <w:pStyle w:val="TextBody"/>
                        <w:bidi w:val="0"/>
                        <w:spacing w:before="0" w:after="0"/>
                        <w:jc w:val="left"/>
                        <w:rPr/>
                      </w:pPr>
                      <w:r>
                        <w:rPr/>
                      </w:r>
                    </w:p>
                  </w:txbxContent>
                </v:textbox>
                <w10:wrap type="none"/>
              </v:rect>
            </w:pict>
          </mc:Fallback>
        </mc:AlternateContent>
      </w:r>
    </w:p>
    <w:tbl>
      <w:tblPr>
        <w:tblW w:w="1538" w:type="dxa"/>
        <w:jc w:val="left"/>
        <w:tblInd w:w="0" w:type="dxa"/>
        <w:tblLayout w:type="fixed"/>
        <w:tblCellMar>
          <w:top w:w="28" w:type="dxa"/>
          <w:left w:w="28" w:type="dxa"/>
          <w:bottom w:w="28" w:type="dxa"/>
          <w:right w:w="28" w:type="dxa"/>
        </w:tblCellMar>
      </w:tblPr>
      <w:tblGrid>
        <w:gridCol w:w="124"/>
        <w:gridCol w:w="109"/>
        <w:gridCol w:w="109"/>
        <w:gridCol w:w="350"/>
        <w:gridCol w:w="350"/>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676275" cy="352425"/>
                          </a:xfrm>
                          <a:prstGeom prst="rect">
                            <a:avLst/>
                          </a:prstGeom>
                        </pic:spPr>
                      </pic:pic>
                    </a:graphicData>
                  </a:graphic>
                </wp:inline>
              </w:drawing>
            </w:r>
          </w:p>
        </w:tc>
      </w:tr>
      <w:tr>
        <w:trPr/>
        <w:tc>
          <w:tcPr>
            <w:tcW w:w="342"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3366"/>
          <w:sz w:val="80"/>
        </w:rPr>
      </w:pPr>
      <w:r>
        <w:rPr>
          <w:rFonts w:ascii="Times New Roman;serif" w:hAnsi="Times New Roman;serif"/>
          <w:b/>
          <w:color w:val="003366"/>
          <w:sz w:val="80"/>
        </w:rPr>
        <w:t>FINANCIAL HIGHLIGHTS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91845"/>
                <wp:effectExtent l="0" t="0" r="0" b="0"/>
                <wp:wrapNone/>
                <wp:docPr id="24" name="Frame16"/>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w:t>
                            </w:r>
                          </w:p>
                        </w:tc>
                      </w:tr>
                    </w:tbl>
                    <w:p>
                      <w:pPr>
                        <w:pStyle w:val="TextBody"/>
                        <w:bidi w:val="0"/>
                        <w:spacing w:before="0" w:after="0"/>
                        <w:jc w:val="left"/>
                        <w:rPr/>
                      </w:pPr>
                      <w:r>
                        <w:rPr/>
                      </w:r>
                    </w:p>
                  </w:txbxContent>
                </v:textbox>
                <w10:wrap type="none"/>
              </v:rect>
            </w:pict>
          </mc:Fallback>
        </mc:AlternateContent>
      </w:r>
    </w:p>
    <w:tbl>
      <w:tblPr>
        <w:tblW w:w="6685" w:type="dxa"/>
        <w:jc w:val="left"/>
        <w:tblInd w:w="0" w:type="dxa"/>
        <w:tblLayout w:type="fixed"/>
        <w:tblCellMar>
          <w:top w:w="28" w:type="dxa"/>
          <w:left w:w="28" w:type="dxa"/>
          <w:bottom w:w="28" w:type="dxa"/>
          <w:right w:w="28" w:type="dxa"/>
        </w:tblCellMar>
      </w:tblPr>
      <w:tblGrid>
        <w:gridCol w:w="2015"/>
        <w:gridCol w:w="1772"/>
        <w:gridCol w:w="1777"/>
        <w:gridCol w:w="328"/>
        <w:gridCol w:w="328"/>
        <w:gridCol w:w="465"/>
      </w:tblGrid>
      <w:tr>
        <w:trPr/>
        <w:tc>
          <w:tcPr>
            <w:tcW w:w="2015"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CONSOLIDATED BALANCE SHEETS</w:t>
            </w:r>
          </w:p>
        </w:tc>
        <w:tc>
          <w:tcPr>
            <w:tcW w:w="112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28650" cy="3238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628650" cy="323850"/>
                          </a:xfrm>
                          <a:prstGeom prst="rect">
                            <a:avLst/>
                          </a:prstGeom>
                        </pic:spPr>
                      </pic:pic>
                    </a:graphicData>
                  </a:graphic>
                </wp:inline>
              </w:drawing>
            </w:r>
          </w:p>
        </w:tc>
      </w:tr>
      <w:tr>
        <w:trPr/>
        <w:tc>
          <w:tcPr>
            <w:tcW w:w="556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89"/>
        <w:gridCol w:w="2176"/>
        <w:gridCol w:w="2190"/>
        <w:gridCol w:w="211"/>
        <w:gridCol w:w="976"/>
        <w:gridCol w:w="109"/>
        <w:gridCol w:w="109"/>
        <w:gridCol w:w="109"/>
        <w:gridCol w:w="109"/>
        <w:gridCol w:w="239"/>
        <w:gridCol w:w="1110"/>
        <w:gridCol w:w="178"/>
      </w:tblGrid>
      <w:tr>
        <w:trPr/>
        <w:tc>
          <w:tcPr>
            <w:tcW w:w="268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u w:val="single"/>
              </w:rPr>
            </w:pPr>
            <w:r>
              <w:rPr>
                <w:rFonts w:ascii="Times New Roman;serif" w:hAnsi="Times New Roman;serif"/>
                <w:b/>
                <w:color w:val="003366"/>
                <w:sz w:val="20"/>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u w:val="single"/>
              </w:rPr>
            </w:pPr>
            <w:r>
              <w:rPr>
                <w:rFonts w:ascii="Times New Roman;serif" w:hAnsi="Times New Roman;serif"/>
                <w:b/>
                <w:color w:val="003366"/>
                <w:sz w:val="20"/>
                <w:u w:val="single"/>
              </w:rPr>
              <w:t>December 31, 2025</w:t>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real estate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3,694,203 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for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3,763,627 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2,619,368 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payable,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1,830,071 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Inc.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490,000,000 shares authorized, 61,404,213 and 61,390,936 shares issued and outstanding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(331,086)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American Assets Trust, Inc.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1,150,817 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1,091,205 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91845"/>
                <wp:effectExtent l="0" t="0" r="0" b="0"/>
                <wp:wrapNone/>
                <wp:docPr id="26" name="Frame17"/>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5</w:t>
                            </w:r>
                          </w:p>
                        </w:tc>
                      </w:tr>
                    </w:tbl>
                    <w:p>
                      <w:pPr>
                        <w:pStyle w:val="TextBody"/>
                        <w:bidi w:val="0"/>
                        <w:spacing w:before="0" w:after="0"/>
                        <w:jc w:val="left"/>
                        <w:rPr/>
                      </w:pPr>
                      <w:r>
                        <w:rPr/>
                      </w:r>
                    </w:p>
                  </w:txbxContent>
                </v:textbox>
                <w10:wrap type="none"/>
              </v:rect>
            </w:pict>
          </mc:Fallback>
        </mc:AlternateContent>
      </w:r>
    </w:p>
    <w:tbl>
      <w:tblPr>
        <w:tblW w:w="8741" w:type="dxa"/>
        <w:jc w:val="left"/>
        <w:tblInd w:w="0" w:type="dxa"/>
        <w:tblLayout w:type="fixed"/>
        <w:tblCellMar>
          <w:top w:w="28" w:type="dxa"/>
          <w:left w:w="28" w:type="dxa"/>
          <w:bottom w:w="28" w:type="dxa"/>
          <w:right w:w="28" w:type="dxa"/>
        </w:tblCellMar>
      </w:tblPr>
      <w:tblGrid>
        <w:gridCol w:w="2733"/>
        <w:gridCol w:w="2403"/>
        <w:gridCol w:w="2409"/>
        <w:gridCol w:w="350"/>
        <w:gridCol w:w="350"/>
        <w:gridCol w:w="496"/>
      </w:tblGrid>
      <w:tr>
        <w:trPr/>
        <w:tc>
          <w:tcPr>
            <w:tcW w:w="273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CONSOLIDATED STATEMENTS OF OPERATIONS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676275" cy="352425"/>
                          </a:xfrm>
                          <a:prstGeom prst="rect">
                            <a:avLst/>
                          </a:prstGeom>
                        </pic:spPr>
                      </pic:pic>
                    </a:graphicData>
                  </a:graphic>
                </wp:inline>
              </w:drawing>
            </w:r>
          </w:p>
        </w:tc>
      </w:tr>
      <w:tr>
        <w:trPr/>
        <w:tc>
          <w:tcPr>
            <w:tcW w:w="754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6"/>
        <w:gridCol w:w="1289"/>
        <w:gridCol w:w="1292"/>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83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 except shares and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Six Months Ended </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unitholders in the Operating Partnership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INC. STOCKHOLDERS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from operations attributable to common stockholders per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60,538,720 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from operations attributable to common stockholders per share</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76,884,892 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76,721,662 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76,882,070 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76,720,257 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91845"/>
                <wp:effectExtent l="0" t="0" r="0" b="0"/>
                <wp:wrapNone/>
                <wp:docPr id="28" name="Frame18"/>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6</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68"/>
        <w:gridCol w:w="2875"/>
        <w:gridCol w:w="350"/>
        <w:gridCol w:w="350"/>
        <w:gridCol w:w="498"/>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FUNDS FROM OPERATIONS, FFO AS ADJUSTED &amp; FUNDS AVAILABLE FOR DISTRIBUTION</w:t>
            </w:r>
          </w:p>
        </w:tc>
        <w:tc>
          <w:tcPr>
            <w:tcW w:w="119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676275" cy="352425"/>
                          </a:xfrm>
                          <a:prstGeom prst="rect">
                            <a:avLst/>
                          </a:prstGeom>
                        </pic:spPr>
                      </pic:pic>
                    </a:graphicData>
                  </a:graphic>
                </wp:inline>
              </w:drawing>
            </w:r>
          </w:p>
        </w:tc>
      </w:tr>
      <w:tr>
        <w:trPr/>
        <w:tc>
          <w:tcPr>
            <w:tcW w:w="9007"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7"/>
        <w:gridCol w:w="1399"/>
        <w:gridCol w:w="1402"/>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5"/>
      </w:tblGrid>
      <w:tr>
        <w:trPr/>
        <w:tc>
          <w:tcPr>
            <w:tcW w:w="161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 except shares and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Six Months Ended </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Funds from Operations (FFO)</w:t>
            </w:r>
            <w:r>
              <w:rPr>
                <w:color w:val="000000"/>
              </w:rPr>
              <w:t xml:space="preserve"> </w:t>
            </w:r>
            <w:r>
              <w:rPr>
                <w:rFonts w:ascii="Times New Roman;serif" w:hAnsi="Times New Roman;serif"/>
                <w:b w:val="false"/>
                <w:color w:val="000000"/>
                <w:sz w:val="13"/>
              </w:rPr>
              <w:t>(1)</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as defined by NAREIT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Nonforfeitable dividends on incentive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 and common units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diluted share/unit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number of common shares and common units, diluted </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 xml:space="preserve">Funds Available for Distribution (FAD) </w:t>
            </w:r>
            <w:r>
              <w:rPr>
                <w:rFonts w:ascii="Times New Roman;serif" w:hAnsi="Times New Roman;serif"/>
                <w:b w:val="false"/>
                <w:color w:val="000000"/>
                <w:sz w:val="13"/>
              </w:rPr>
              <w:t>(1)</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per share/unit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FFO and FAD are non-GAAP supplemental earnings measures which we consider meaningful in measuring our operating performance. </w:t>
      </w:r>
    </w:p>
    <w:p>
      <w:pPr>
        <w:pStyle w:val="TextBody"/>
        <w:bidi w:val="0"/>
        <w:spacing w:lineRule="auto" w:line="288" w:before="0" w:after="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91845"/>
                <wp:effectExtent l="0" t="0" r="0" b="0"/>
                <wp:wrapNone/>
                <wp:docPr id="30" name="Frame19"/>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7</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68"/>
        <w:gridCol w:w="2875"/>
        <w:gridCol w:w="350"/>
        <w:gridCol w:w="350"/>
        <w:gridCol w:w="498"/>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FUNDS FROM OPERATIONS, FFO AS ADJUSTED &amp; FUNDS AVAILABLE FOR DISTRIBUTION (CONTINUED)</w:t>
            </w:r>
          </w:p>
        </w:tc>
        <w:tc>
          <w:tcPr>
            <w:tcW w:w="119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676275" cy="352425"/>
                          </a:xfrm>
                          <a:prstGeom prst="rect">
                            <a:avLst/>
                          </a:prstGeom>
                        </pic:spPr>
                      </pic:pic>
                    </a:graphicData>
                  </a:graphic>
                </wp:inline>
              </w:drawing>
            </w:r>
          </w:p>
        </w:tc>
      </w:tr>
      <w:tr>
        <w:trPr/>
        <w:tc>
          <w:tcPr>
            <w:tcW w:w="9007"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40"/>
        <w:gridCol w:w="1585"/>
        <w:gridCol w:w="158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 except shares and per share data)</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Six Months Ended </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Funds Available for Distribution (FAD)</w:t>
            </w:r>
            <w:r>
              <w:rPr>
                <w:color w:val="000000"/>
              </w:rPr>
              <w:t xml:space="preserve"> </w:t>
            </w:r>
            <w:r>
              <w:rPr>
                <w:rFonts w:ascii="Times New Roman;serif" w:hAnsi="Times New Roman;serif"/>
                <w:b w:val="false"/>
                <w:color w:val="000000"/>
                <w:sz w:val="13"/>
              </w:rPr>
              <w:t>(1)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Tenant improvements, leasing commissions and capital expenditures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straight-line rents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net above (below) market rents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other lease assets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Nonforfeitable dividends on restricted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Tenant improvements and leasing commissions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See Glossary of Terms.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For the three and six months ended June 30, 2026 and 2025, the weighted average common shares and common units used to compute FFO per diluted share/unit included operating partnership common units and unvested restricted stock awards that are subject to time vesting. The shares/units used to compute FFO per diluted share/unit include additional shares/units which were excluded from the computation of diluted EPS, as they were anti-dilutive for the periods presented.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Represents the straight-line rent income recognized during the period offset by cash received during the period and the provision for bad debts recorded for deferred rent receivable balances.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the adjustment related to the acquisition of buildings with above (below) market rents.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Represents adjustments related to amortization of lease incentives paid to tenants, amortization of lease intangibles, and straight-line rent expense for our leases at the Annex at The Landmark at One Market.</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FFO and FAD are non-GAAP supplemental earnings measures which we consider meaningful in measuring our operating performance.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91845"/>
                <wp:effectExtent l="0" t="0" r="0" b="0"/>
                <wp:wrapNone/>
                <wp:docPr id="32" name="Frame20"/>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8</w:t>
                            </w:r>
                          </w:p>
                        </w:tc>
                      </w:tr>
                    </w:tbl>
                    <w:p>
                      <w:pPr>
                        <w:pStyle w:val="TextBody"/>
                        <w:bidi w:val="0"/>
                        <w:spacing w:before="0" w:after="0"/>
                        <w:jc w:val="left"/>
                        <w:rPr/>
                      </w:pPr>
                      <w:r>
                        <w:rPr/>
                      </w:r>
                    </w:p>
                  </w:txbxContent>
                </v:textbox>
                <w10:wrap type="none"/>
              </v:rect>
            </w:pict>
          </mc:Fallback>
        </mc:AlternateContent>
      </w:r>
    </w:p>
    <w:tbl>
      <w:tblPr>
        <w:tblW w:w="8350" w:type="dxa"/>
        <w:jc w:val="left"/>
        <w:tblInd w:w="0" w:type="dxa"/>
        <w:tblLayout w:type="fixed"/>
        <w:tblCellMar>
          <w:top w:w="28" w:type="dxa"/>
          <w:left w:w="28" w:type="dxa"/>
          <w:bottom w:w="28" w:type="dxa"/>
          <w:right w:w="28" w:type="dxa"/>
        </w:tblCellMar>
      </w:tblPr>
      <w:tblGrid>
        <w:gridCol w:w="2591"/>
        <w:gridCol w:w="2280"/>
        <w:gridCol w:w="2283"/>
        <w:gridCol w:w="350"/>
        <w:gridCol w:w="350"/>
        <w:gridCol w:w="496"/>
      </w:tblGrid>
      <w:tr>
        <w:trPr/>
        <w:tc>
          <w:tcPr>
            <w:tcW w:w="2591"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SAME-STORE NET OPERATING INCOME (NOI)</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676275" cy="352425"/>
                          </a:xfrm>
                          <a:prstGeom prst="rect">
                            <a:avLst/>
                          </a:prstGeom>
                        </pic:spPr>
                      </pic:pic>
                    </a:graphicData>
                  </a:graphic>
                </wp:inline>
              </w:drawing>
            </w:r>
          </w:p>
        </w:tc>
      </w:tr>
      <w:tr>
        <w:trPr/>
        <w:tc>
          <w:tcPr>
            <w:tcW w:w="715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7"/>
        <w:gridCol w:w="1053"/>
        <w:gridCol w:w="1056"/>
        <w:gridCol w:w="211"/>
        <w:gridCol w:w="721"/>
        <w:gridCol w:w="109"/>
        <w:gridCol w:w="109"/>
        <w:gridCol w:w="109"/>
        <w:gridCol w:w="109"/>
        <w:gridCol w:w="211"/>
        <w:gridCol w:w="721"/>
        <w:gridCol w:w="109"/>
        <w:gridCol w:w="109"/>
        <w:gridCol w:w="109"/>
        <w:gridCol w:w="109"/>
        <w:gridCol w:w="228"/>
        <w:gridCol w:w="779"/>
        <w:gridCol w:w="119"/>
        <w:gridCol w:w="109"/>
        <w:gridCol w:w="109"/>
        <w:gridCol w:w="109"/>
        <w:gridCol w:w="211"/>
        <w:gridCol w:w="721"/>
        <w:gridCol w:w="109"/>
        <w:gridCol w:w="109"/>
        <w:gridCol w:w="109"/>
        <w:gridCol w:w="109"/>
        <w:gridCol w:w="211"/>
        <w:gridCol w:w="826"/>
        <w:gridCol w:w="155"/>
      </w:tblGrid>
      <w:tr>
        <w:trPr/>
        <w:tc>
          <w:tcPr>
            <w:tcW w:w="13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6749"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Three Months Ended June 30, 2026 </w:t>
            </w:r>
            <w:r>
              <w:rPr>
                <w:rFonts w:ascii="Times New Roman;serif" w:hAnsi="Times New Roman;serif"/>
                <w:b/>
                <w:color w:val="003366"/>
                <w:sz w:val="13"/>
              </w:rPr>
              <w:t>(1)</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Mixed-Use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rental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Non-same-store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 (NOI)</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NOI</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67,948 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straight-line rents </w:t>
            </w:r>
            <w:r>
              <w:rPr>
                <w:rFonts w:ascii="Times New Roman;serif" w:hAnsi="Times New Roman;serif"/>
                <w:b w:val="false"/>
                <w:color w:val="000000"/>
                <w:sz w:val="13"/>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net above (below) market rents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other lease assets </w:t>
            </w:r>
            <w:r>
              <w:rPr>
                <w:rFonts w:ascii="Times New Roman;serif" w:hAnsi="Times New Roman;serif"/>
                <w:b w:val="false"/>
                <w:color w:val="000000"/>
                <w:sz w:val="13"/>
              </w:rPr>
              <w:t>(4)</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 termination fees and tenant improvement reimbursements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Same-store cash NOI </w:t>
            </w:r>
            <w:r>
              <w:rPr>
                <w:rFonts w:ascii="Times New Roman;serif" w:hAnsi="Times New Roman;serif"/>
                <w:b w:val="false"/>
                <w:color w:val="000000"/>
                <w:sz w:val="13"/>
              </w:rPr>
              <w:t>(5)</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66,501 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Same-store and non-same-store classifications are determined based on properties held on June 30, 2026 and 2025. See Glossary of Terms.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Represents the straight-line rent income recognized during the period offset by cash received during the period and the provision for bad debts recorded for deferred rent receivable balances.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Represents the adjustment related to the acquisition of buildings with above (below) market rents.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adjustments related to amortization of lease incentives paid to tenants, amortization of lease intangibles and straight-line rent expense for our leases at the Annex at The Landmark at One Market.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Lease termination fees and tenant improvement reimbursements are excluded from same-store cash NOI to provide a more accurate measure of operating performance.</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NOI and same-store cash NOI are non-GAAP supplemental earnings measures which we consider meaningful in measuring our operating performance. Reconciliations of NOI and same-store cash NOI to net income are included in the Glossary of Terms.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91845"/>
                <wp:effectExtent l="0" t="0" r="0" b="0"/>
                <wp:wrapNone/>
                <wp:docPr id="34" name="Frame21"/>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694" w:type="dxa"/>
                        <w:jc w:val="left"/>
                        <w:tblInd w:w="0" w:type="dxa"/>
                        <w:tblLayout w:type="fixed"/>
                        <w:tblCellMar>
                          <w:top w:w="28" w:type="dxa"/>
                          <w:left w:w="28" w:type="dxa"/>
                          <w:bottom w:w="28" w:type="dxa"/>
                          <w:right w:w="28" w:type="dxa"/>
                        </w:tblCellMar>
                      </w:tblPr>
                      <w:tblGrid>
                        <w:gridCol w:w="1450"/>
                        <w:gridCol w:w="1276"/>
                        <w:gridCol w:w="1279"/>
                        <w:gridCol w:w="201"/>
                        <w:gridCol w:w="201"/>
                        <w:gridCol w:w="287"/>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689"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9</w:t>
                            </w:r>
                          </w:p>
                        </w:tc>
                      </w:tr>
                    </w:tbl>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3"/>
        <w:gridCol w:w="2870"/>
        <w:gridCol w:w="2874"/>
        <w:gridCol w:w="350"/>
        <w:gridCol w:w="350"/>
        <w:gridCol w:w="498"/>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SAME-STORE NET OPERATING INCOME (NOI) (CONTINUED)</w:t>
            </w:r>
          </w:p>
        </w:tc>
        <w:tc>
          <w:tcPr>
            <w:tcW w:w="119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676275" cy="352425"/>
                          </a:xfrm>
                          <a:prstGeom prst="rect">
                            <a:avLst/>
                          </a:prstGeom>
                        </pic:spPr>
                      </pic:pic>
                    </a:graphicData>
                  </a:graphic>
                </wp:inline>
              </w:drawing>
            </w:r>
          </w:p>
        </w:tc>
      </w:tr>
      <w:tr>
        <w:trPr/>
        <w:tc>
          <w:tcPr>
            <w:tcW w:w="9007"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47"/>
        <w:gridCol w:w="1053"/>
        <w:gridCol w:w="1056"/>
        <w:gridCol w:w="211"/>
        <w:gridCol w:w="721"/>
        <w:gridCol w:w="109"/>
        <w:gridCol w:w="109"/>
        <w:gridCol w:w="109"/>
        <w:gridCol w:w="109"/>
        <w:gridCol w:w="211"/>
        <w:gridCol w:w="721"/>
        <w:gridCol w:w="109"/>
        <w:gridCol w:w="109"/>
        <w:gridCol w:w="109"/>
        <w:gridCol w:w="109"/>
        <w:gridCol w:w="228"/>
        <w:gridCol w:w="779"/>
        <w:gridCol w:w="119"/>
        <w:gridCol w:w="109"/>
        <w:gridCol w:w="109"/>
        <w:gridCol w:w="109"/>
        <w:gridCol w:w="211"/>
        <w:gridCol w:w="721"/>
        <w:gridCol w:w="109"/>
        <w:gridCol w:w="109"/>
        <w:gridCol w:w="109"/>
        <w:gridCol w:w="109"/>
        <w:gridCol w:w="211"/>
        <w:gridCol w:w="826"/>
        <w:gridCol w:w="155"/>
      </w:tblGrid>
      <w:tr>
        <w:trPr/>
        <w:tc>
          <w:tcPr>
            <w:tcW w:w="13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6749"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Six Months Ended June 30, 2026 </w:t>
            </w:r>
            <w:r>
              <w:rPr>
                <w:rFonts w:ascii="Times New Roman;serif" w:hAnsi="Times New Roman;serif"/>
                <w:b/>
                <w:color w:val="003366"/>
                <w:sz w:val="13"/>
              </w:rPr>
              <w:t>(1)</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Mixed-Use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rental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 (NOI)</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NOI</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132,532 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straight-line rents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net above (below) market rents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effect of other lease assets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 termination fees and tenant improvement reimbursements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Same-store cash NOI </w:t>
            </w:r>
            <w:r>
              <w:rPr>
                <w:rFonts w:ascii="Times New Roman;serif" w:hAnsi="Times New Roman;serif"/>
                <w:b w:val="false"/>
                <w:color w:val="000000"/>
                <w:sz w:val="13"/>
              </w:rPr>
              <w:t>(5)</w:t>
            </w:r>
            <w:r>
              <w:rPr>
                <w:color w:val="000000"/>
              </w:rPr>
              <w:t xml:space="preserv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Same-store and non-same-store classifications are determined based on properties held on June 30, 2026 and 2025. See Glossary of Terms.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Represents the straight-line rent income recognized during the period offset by cash received during the period and the provision for bad debts recorded for deferred rent receivable balances.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Represents the adjustment related to the acquisition of buildings with above (below) market rents.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adjustments related to amortization of lease incentives paid to tenants, amortization of lease intangibles, and straight-line rent expense for our leases at the Annex at The Landmark at One Market.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Lease termination fees and tenant improvement reimbursements are excluded from same-store cash NOI to provide a more accurate measure of operating performance.</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NOI and same-store cash NOI are non-GAAP supplemental earnings measures which we consider meaningful in measuring our operating performance. Reconciliations of NOI and same-store cash NOI to net income are included in the Glossary of Terms.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91845"/>
                <wp:effectExtent l="0" t="0" r="0" b="0"/>
                <wp:wrapNone/>
                <wp:docPr id="36" name="Frame22"/>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10</w:t>
                            </w:r>
                          </w:p>
                        </w:tc>
                      </w:tr>
                    </w:tbl>
                    <w:p>
                      <w:pPr>
                        <w:pStyle w:val="TextBody"/>
                        <w:bidi w:val="0"/>
                        <w:spacing w:before="0" w:after="0"/>
                        <w:jc w:val="left"/>
                        <w:rPr/>
                      </w:pPr>
                      <w:r>
                        <w:rPr/>
                      </w:r>
                    </w:p>
                  </w:txbxContent>
                </v:textbox>
                <w10:wrap type="none"/>
              </v:rect>
            </w:pict>
          </mc:Fallback>
        </mc:AlternateContent>
      </w:r>
    </w:p>
    <w:tbl>
      <w:tblPr>
        <w:tblW w:w="7255" w:type="dxa"/>
        <w:jc w:val="left"/>
        <w:tblInd w:w="0" w:type="dxa"/>
        <w:tblLayout w:type="fixed"/>
        <w:tblCellMar>
          <w:top w:w="28" w:type="dxa"/>
          <w:left w:w="28" w:type="dxa"/>
          <w:bottom w:w="28" w:type="dxa"/>
          <w:right w:w="28" w:type="dxa"/>
        </w:tblCellMar>
      </w:tblPr>
      <w:tblGrid>
        <w:gridCol w:w="2196"/>
        <w:gridCol w:w="1929"/>
        <w:gridCol w:w="1934"/>
        <w:gridCol w:w="350"/>
        <w:gridCol w:w="350"/>
        <w:gridCol w:w="496"/>
      </w:tblGrid>
      <w:tr>
        <w:trPr/>
        <w:tc>
          <w:tcPr>
            <w:tcW w:w="219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SAME-STORE CASH NOI COMPARISON</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676275" cy="352425"/>
                          </a:xfrm>
                          <a:prstGeom prst="rect">
                            <a:avLst/>
                          </a:prstGeom>
                        </pic:spPr>
                      </pic:pic>
                    </a:graphicData>
                  </a:graphic>
                </wp:inline>
              </w:drawing>
            </w:r>
          </w:p>
        </w:tc>
      </w:tr>
      <w:tr>
        <w:trPr/>
        <w:tc>
          <w:tcPr>
            <w:tcW w:w="6059"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6"/>
        <w:gridCol w:w="757"/>
        <w:gridCol w:w="760"/>
        <w:gridCol w:w="211"/>
        <w:gridCol w:w="721"/>
        <w:gridCol w:w="109"/>
        <w:gridCol w:w="109"/>
        <w:gridCol w:w="109"/>
        <w:gridCol w:w="109"/>
        <w:gridCol w:w="211"/>
        <w:gridCol w:w="721"/>
        <w:gridCol w:w="109"/>
        <w:gridCol w:w="109"/>
        <w:gridCol w:w="109"/>
        <w:gridCol w:w="109"/>
        <w:gridCol w:w="229"/>
        <w:gridCol w:w="231"/>
        <w:gridCol w:w="417"/>
        <w:gridCol w:w="109"/>
        <w:gridCol w:w="109"/>
        <w:gridCol w:w="109"/>
        <w:gridCol w:w="211"/>
        <w:gridCol w:w="826"/>
        <w:gridCol w:w="109"/>
        <w:gridCol w:w="109"/>
        <w:gridCol w:w="109"/>
        <w:gridCol w:w="109"/>
        <w:gridCol w:w="211"/>
        <w:gridCol w:w="826"/>
        <w:gridCol w:w="109"/>
        <w:gridCol w:w="109"/>
        <w:gridCol w:w="109"/>
        <w:gridCol w:w="109"/>
        <w:gridCol w:w="229"/>
        <w:gridCol w:w="231"/>
        <w:gridCol w:w="476"/>
      </w:tblGrid>
      <w:tr>
        <w:trPr/>
        <w:tc>
          <w:tcPr>
            <w:tcW w:w="8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Six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Change</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Basis: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Office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Same-store Cash NOI </w:t>
            </w:r>
            <w:r>
              <w:rPr>
                <w:rFonts w:ascii="Times New Roman;serif" w:hAnsi="Times New Roman;serif"/>
                <w:b w:val="false"/>
                <w:color w:val="000000"/>
                <w:sz w:val="13"/>
              </w:rPr>
              <w:t>(1)(2)(3)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Office same-store cash NOI and total same-store cash NOI include the impact of a one-time reserve for certain receivables related to an office tenant at Coastal Collection at Torrey Reserve. The company continues to pursue recovery of the outstanding amounts. Excluding this reserve, office same-store cash NOI would have increased 2.4% and 0.8% for the three and six months ended June 30, 2026, respectively, and total same-store cash NOI would have increased 1.3% and 0.4% for the respective periods, each compared to the corresponding periods in 2025.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Lease termination fees and tenant improvement reimbursements are excluded from same-store cash NOI to provide a more accurate measure of operating performance.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See Glossary of Terms.</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Same-store cash NOI is a non-GAAP supplemental earnings measure which we consider meaningful in measuring our operating performance. A reconciliation of same-store cash NOI to net income is included in the Glossary of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91845"/>
                <wp:effectExtent l="0" t="0" r="0" b="0"/>
                <wp:wrapNone/>
                <wp:docPr id="38" name="Frame23"/>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11</w:t>
                            </w:r>
                          </w:p>
                        </w:tc>
                      </w:tr>
                    </w:tbl>
                    <w:p>
                      <w:pPr>
                        <w:pStyle w:val="TextBody"/>
                        <w:bidi w:val="0"/>
                        <w:spacing w:before="0" w:after="0"/>
                        <w:jc w:val="left"/>
                        <w:rPr/>
                      </w:pPr>
                      <w:r>
                        <w:rPr/>
                      </w:r>
                    </w:p>
                  </w:txbxContent>
                </v:textbox>
                <w10:wrap type="none"/>
              </v:rect>
            </w:pict>
          </mc:Fallback>
        </mc:AlternateContent>
      </w:r>
    </w:p>
    <w:tbl>
      <w:tblPr>
        <w:tblW w:w="4690" w:type="dxa"/>
        <w:jc w:val="left"/>
        <w:tblInd w:w="0" w:type="dxa"/>
        <w:tblLayout w:type="fixed"/>
        <w:tblCellMar>
          <w:top w:w="28" w:type="dxa"/>
          <w:left w:w="28" w:type="dxa"/>
          <w:bottom w:w="28" w:type="dxa"/>
          <w:right w:w="28" w:type="dxa"/>
        </w:tblCellMar>
      </w:tblPr>
      <w:tblGrid>
        <w:gridCol w:w="1265"/>
        <w:gridCol w:w="1113"/>
        <w:gridCol w:w="1116"/>
        <w:gridCol w:w="350"/>
        <w:gridCol w:w="350"/>
        <w:gridCol w:w="496"/>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CASH NOI BY REGION</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17"/>
                          <a:stretch>
                            <a:fillRect/>
                          </a:stretch>
                        </pic:blipFill>
                        <pic:spPr bwMode="auto">
                          <a:xfrm>
                            <a:off x="0" y="0"/>
                            <a:ext cx="676275" cy="352425"/>
                          </a:xfrm>
                          <a:prstGeom prst="rect">
                            <a:avLst/>
                          </a:prstGeom>
                        </pic:spPr>
                      </pic:pic>
                    </a:graphicData>
                  </a:graphic>
                </wp:inline>
              </w:drawing>
            </w:r>
          </w:p>
        </w:tc>
      </w:tr>
      <w:tr>
        <w:trPr/>
        <w:tc>
          <w:tcPr>
            <w:tcW w:w="349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92" w:type="dxa"/>
        <w:jc w:val="left"/>
        <w:tblInd w:w="0" w:type="dxa"/>
        <w:tblLayout w:type="fixed"/>
        <w:tblCellMar>
          <w:top w:w="28" w:type="dxa"/>
          <w:left w:w="28" w:type="dxa"/>
          <w:bottom w:w="28" w:type="dxa"/>
          <w:right w:w="28" w:type="dxa"/>
        </w:tblCellMar>
      </w:tblPr>
      <w:tblGrid>
        <w:gridCol w:w="1081"/>
        <w:gridCol w:w="950"/>
        <w:gridCol w:w="953"/>
        <w:gridCol w:w="211"/>
        <w:gridCol w:w="721"/>
        <w:gridCol w:w="109"/>
        <w:gridCol w:w="109"/>
        <w:gridCol w:w="109"/>
        <w:gridCol w:w="109"/>
        <w:gridCol w:w="211"/>
        <w:gridCol w:w="721"/>
        <w:gridCol w:w="109"/>
        <w:gridCol w:w="109"/>
        <w:gridCol w:w="109"/>
        <w:gridCol w:w="109"/>
        <w:gridCol w:w="253"/>
        <w:gridCol w:w="741"/>
        <w:gridCol w:w="132"/>
        <w:gridCol w:w="109"/>
        <w:gridCol w:w="109"/>
        <w:gridCol w:w="109"/>
        <w:gridCol w:w="226"/>
        <w:gridCol w:w="662"/>
        <w:gridCol w:w="118"/>
        <w:gridCol w:w="109"/>
        <w:gridCol w:w="109"/>
        <w:gridCol w:w="109"/>
        <w:gridCol w:w="211"/>
        <w:gridCol w:w="72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66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Three Months Ended 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Mixed-Use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Basis: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California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NOI</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NOI is a non-GAAP supplemental earnings measure which we consider meaningful in measuring our operating performance. A reconciliation of cash NOI to net income is included in the Glossary of Terms.</w:t>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91845"/>
                <wp:effectExtent l="0" t="0" r="0" b="0"/>
                <wp:wrapNone/>
                <wp:docPr id="40" name="Frame24"/>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12</w:t>
                            </w:r>
                          </w:p>
                        </w:tc>
                      </w:tr>
                    </w:tbl>
                    <w:p>
                      <w:pPr>
                        <w:pStyle w:val="TextBody"/>
                        <w:bidi w:val="0"/>
                        <w:spacing w:before="0" w:after="0"/>
                        <w:jc w:val="left"/>
                        <w:rPr/>
                      </w:pPr>
                      <w:r>
                        <w:rPr/>
                      </w:r>
                    </w:p>
                  </w:txbxContent>
                </v:textbox>
                <w10:wrap type="none"/>
              </v:rect>
            </w:pict>
          </mc:Fallback>
        </mc:AlternateContent>
      </w:r>
    </w:p>
    <w:tbl>
      <w:tblPr>
        <w:tblW w:w="5036" w:type="dxa"/>
        <w:jc w:val="left"/>
        <w:tblInd w:w="0" w:type="dxa"/>
        <w:tblLayout w:type="fixed"/>
        <w:tblCellMar>
          <w:top w:w="28" w:type="dxa"/>
          <w:left w:w="28" w:type="dxa"/>
          <w:bottom w:w="28" w:type="dxa"/>
          <w:right w:w="28" w:type="dxa"/>
        </w:tblCellMar>
      </w:tblPr>
      <w:tblGrid>
        <w:gridCol w:w="1391"/>
        <w:gridCol w:w="1223"/>
        <w:gridCol w:w="1226"/>
        <w:gridCol w:w="350"/>
        <w:gridCol w:w="350"/>
        <w:gridCol w:w="496"/>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CASH NOI BREAKDOWN</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4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7" descr=""/>
                          <pic:cNvPicPr>
                            <a:picLocks noChangeAspect="1" noChangeArrowheads="1"/>
                          </pic:cNvPicPr>
                        </pic:nvPicPr>
                        <pic:blipFill>
                          <a:blip r:embed="rId18"/>
                          <a:stretch>
                            <a:fillRect/>
                          </a:stretch>
                        </pic:blipFill>
                        <pic:spPr bwMode="auto">
                          <a:xfrm>
                            <a:off x="0" y="0"/>
                            <a:ext cx="676275" cy="352425"/>
                          </a:xfrm>
                          <a:prstGeom prst="rect">
                            <a:avLst/>
                          </a:prstGeom>
                        </pic:spPr>
                      </pic:pic>
                    </a:graphicData>
                  </a:graphic>
                </wp:inline>
              </w:drawing>
            </w:r>
          </w:p>
        </w:tc>
      </w:tr>
      <w:tr>
        <w:trPr/>
        <w:tc>
          <w:tcPr>
            <w:tcW w:w="384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149" w:type="dxa"/>
        <w:jc w:val="left"/>
        <w:tblInd w:w="0" w:type="dxa"/>
        <w:tblLayout w:type="fixed"/>
        <w:tblCellMar>
          <w:top w:w="28" w:type="dxa"/>
          <w:left w:w="28" w:type="dxa"/>
          <w:bottom w:w="28" w:type="dxa"/>
          <w:right w:w="28" w:type="dxa"/>
        </w:tblCellMar>
      </w:tblPr>
      <w:tblGrid>
        <w:gridCol w:w="1009"/>
        <w:gridCol w:w="886"/>
        <w:gridCol w:w="1254"/>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Three Months Ended June 30, 2026</w:t>
            </w:r>
          </w:p>
        </w:tc>
      </w:tr>
    </w:tbl>
    <w:tbl>
      <w:tblPr>
        <w:tblW w:w="7706" w:type="dxa"/>
        <w:jc w:val="left"/>
        <w:tblInd w:w="0" w:type="dxa"/>
        <w:tblLayout w:type="fixed"/>
        <w:tblCellMar>
          <w:top w:w="28" w:type="dxa"/>
          <w:left w:w="28" w:type="dxa"/>
          <w:bottom w:w="28" w:type="dxa"/>
          <w:right w:w="28" w:type="dxa"/>
        </w:tblCellMar>
      </w:tblPr>
      <w:tblGrid>
        <w:gridCol w:w="1500"/>
        <w:gridCol w:w="1319"/>
        <w:gridCol w:w="1321"/>
        <w:gridCol w:w="109"/>
        <w:gridCol w:w="109"/>
        <w:gridCol w:w="109"/>
        <w:gridCol w:w="948"/>
        <w:gridCol w:w="948"/>
        <w:gridCol w:w="1343"/>
      </w:tblGrid>
      <w:tr>
        <w:trPr/>
        <w:tc>
          <w:tcPr>
            <w:tcW w:w="150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Cash NOI Breakdown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Portfolio Diversification by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Portfolio Diversification by Segment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4352925" cy="2438400"/>
            <wp:effectExtent l="0" t="0" r="0" b="0"/>
            <wp:docPr id="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 descr=""/>
                    <pic:cNvPicPr>
                      <a:picLocks noChangeAspect="1" noChangeArrowheads="1"/>
                    </pic:cNvPicPr>
                  </pic:nvPicPr>
                  <pic:blipFill>
                    <a:blip r:embed="rId19"/>
                    <a:stretch>
                      <a:fillRect/>
                    </a:stretch>
                  </pic:blipFill>
                  <pic:spPr bwMode="auto">
                    <a:xfrm>
                      <a:off x="0" y="0"/>
                      <a:ext cx="4352925" cy="2438400"/>
                    </a:xfrm>
                    <a:prstGeom prst="rect">
                      <a:avLst/>
                    </a:prstGeom>
                  </pic:spPr>
                </pic:pic>
              </a:graphicData>
            </a:graphic>
          </wp:inline>
        </w:drawing>
      </w:r>
      <w:r>
        <w:rPr>
          <w:color w:val="000000"/>
        </w:rPr>
        <w:t>    </w:t>
      </w:r>
      <w:r>
        <w:rPr/>
        <w:drawing>
          <wp:inline distT="0" distB="0" distL="0" distR="0">
            <wp:extent cx="4381500" cy="2438400"/>
            <wp:effectExtent l="0" t="0" r="0" b="0"/>
            <wp:docPr id="4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9" descr=""/>
                    <pic:cNvPicPr>
                      <a:picLocks noChangeAspect="1" noChangeArrowheads="1"/>
                    </pic:cNvPicPr>
                  </pic:nvPicPr>
                  <pic:blipFill>
                    <a:blip r:embed="rId20"/>
                    <a:stretch>
                      <a:fillRect/>
                    </a:stretch>
                  </pic:blipFill>
                  <pic:spPr bwMode="auto">
                    <a:xfrm>
                      <a:off x="0" y="0"/>
                      <a:ext cx="4381500" cy="24384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NOI is a non-GAAP supplemental earnings measure which we consider meaningful in measuring our operating performance. A reconciliation of cash NOI to net income is included in the Glossary of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91845"/>
                <wp:effectExtent l="0" t="0" r="0" b="0"/>
                <wp:wrapNone/>
                <wp:docPr id="44" name="Frame25"/>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13</w:t>
                            </w:r>
                          </w:p>
                        </w:tc>
                      </w:tr>
                    </w:tbl>
                    <w:p>
                      <w:pPr>
                        <w:pStyle w:val="TextBody"/>
                        <w:bidi w:val="0"/>
                        <w:spacing w:before="0" w:after="0"/>
                        <w:jc w:val="left"/>
                        <w:rPr/>
                      </w:pPr>
                      <w:r>
                        <w:rPr/>
                      </w:r>
                    </w:p>
                  </w:txbxContent>
                </v:textbox>
                <w10:wrap type="none"/>
              </v:rect>
            </w:pict>
          </mc:Fallback>
        </mc:AlternateContent>
      </w:r>
    </w:p>
    <w:tbl>
      <w:tblPr>
        <w:tblW w:w="9071" w:type="dxa"/>
        <w:jc w:val="left"/>
        <w:tblInd w:w="0" w:type="dxa"/>
        <w:tblLayout w:type="fixed"/>
        <w:tblCellMar>
          <w:top w:w="28" w:type="dxa"/>
          <w:left w:w="28" w:type="dxa"/>
          <w:bottom w:w="28" w:type="dxa"/>
          <w:right w:w="28" w:type="dxa"/>
        </w:tblCellMar>
      </w:tblPr>
      <w:tblGrid>
        <w:gridCol w:w="2855"/>
        <w:gridCol w:w="2506"/>
        <w:gridCol w:w="2514"/>
        <w:gridCol w:w="350"/>
        <w:gridCol w:w="350"/>
        <w:gridCol w:w="496"/>
      </w:tblGrid>
      <w:tr>
        <w:trPr/>
        <w:tc>
          <w:tcPr>
            <w:tcW w:w="2855"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REVENUE AND OPERATING EXPENSES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 descr=""/>
                          <pic:cNvPicPr>
                            <a:picLocks noChangeAspect="1" noChangeArrowheads="1"/>
                          </pic:cNvPicPr>
                        </pic:nvPicPr>
                        <pic:blipFill>
                          <a:blip r:embed="rId21"/>
                          <a:stretch>
                            <a:fillRect/>
                          </a:stretch>
                        </pic:blipFill>
                        <pic:spPr bwMode="auto">
                          <a:xfrm>
                            <a:off x="0" y="0"/>
                            <a:ext cx="676275" cy="352425"/>
                          </a:xfrm>
                          <a:prstGeom prst="rect">
                            <a:avLst/>
                          </a:prstGeom>
                        </pic:spPr>
                      </pic:pic>
                    </a:graphicData>
                  </a:graphic>
                </wp:inline>
              </w:drawing>
            </w:r>
          </w:p>
        </w:tc>
      </w:tr>
      <w:tr>
        <w:trPr/>
        <w:tc>
          <w:tcPr>
            <w:tcW w:w="787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1"/>
        <w:gridCol w:w="357"/>
        <w:gridCol w:w="358"/>
        <w:gridCol w:w="109"/>
        <w:gridCol w:w="109"/>
        <w:gridCol w:w="109"/>
        <w:gridCol w:w="211"/>
        <w:gridCol w:w="736"/>
        <w:gridCol w:w="109"/>
        <w:gridCol w:w="109"/>
        <w:gridCol w:w="109"/>
        <w:gridCol w:w="109"/>
        <w:gridCol w:w="223"/>
        <w:gridCol w:w="667"/>
        <w:gridCol w:w="116"/>
        <w:gridCol w:w="109"/>
        <w:gridCol w:w="109"/>
        <w:gridCol w:w="109"/>
        <w:gridCol w:w="336"/>
        <w:gridCol w:w="1006"/>
        <w:gridCol w:w="175"/>
        <w:gridCol w:w="109"/>
        <w:gridCol w:w="109"/>
        <w:gridCol w:w="109"/>
        <w:gridCol w:w="224"/>
        <w:gridCol w:w="785"/>
        <w:gridCol w:w="118"/>
        <w:gridCol w:w="109"/>
        <w:gridCol w:w="109"/>
        <w:gridCol w:w="109"/>
        <w:gridCol w:w="279"/>
        <w:gridCol w:w="837"/>
        <w:gridCol w:w="146"/>
        <w:gridCol w:w="109"/>
        <w:gridCol w:w="109"/>
        <w:gridCol w:w="109"/>
        <w:gridCol w:w="211"/>
        <w:gridCol w:w="736"/>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Three Months Ended June 30, 2026</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Billed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Rental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Cash </w:t>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Base Rent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3366"/>
              </w:rPr>
              <w:t>   </w:t>
            </w:r>
            <w:r>
              <w:rPr>
                <w:rFonts w:ascii="Times New Roman;serif" w:hAnsi="Times New Roman;serif"/>
                <w:b/>
                <w:color w:val="003366"/>
                <w:sz w:val="20"/>
              </w:rPr>
              <w:t xml:space="preserve">Income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Reimbursements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3366"/>
              </w:rPr>
              <w:t>    </w:t>
            </w:r>
            <w:r>
              <w:rPr>
                <w:rFonts w:ascii="Times New Roman;serif" w:hAnsi="Times New Roman;serif"/>
                <w:b/>
                <w:color w:val="003366"/>
                <w:sz w:val="20"/>
              </w:rPr>
              <w:t xml:space="preserve">Expenses </w:t>
            </w:r>
            <w:r>
              <w:rPr>
                <w:rFonts w:ascii="Times New Roman;serif" w:hAnsi="Times New Roman;serif"/>
                <w:b/>
                <w:color w:val="003366"/>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3366"/>
              </w:rPr>
              <w:t>  </w:t>
            </w:r>
            <w:r>
              <w:rPr>
                <w:rFonts w:ascii="Times New Roman;serif" w:hAnsi="Times New Roman;serif"/>
                <w:b/>
                <w:color w:val="003366"/>
                <w:sz w:val="20"/>
              </w:rPr>
              <w:t xml:space="preserve">Adjustments </w:t>
            </w:r>
            <w:r>
              <w:rPr>
                <w:rFonts w:ascii="Times New Roman;serif" w:hAnsi="Times New Roman;serif"/>
                <w:b/>
                <w:color w:val="003366"/>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3366"/>
              </w:rPr>
              <w:t>    </w:t>
            </w:r>
            <w:r>
              <w:rPr>
                <w:rFonts w:ascii="Times New Roman;serif" w:hAnsi="Times New Roman;serif"/>
                <w:b/>
                <w:color w:val="003366"/>
                <w:sz w:val="20"/>
              </w:rPr>
              <w:t xml:space="preserve">NOI </w:t>
            </w:r>
            <w:r>
              <w:rPr>
                <w:rFonts w:ascii="Times New Roman;serif" w:hAnsi="Times New Roman;serif"/>
                <w:b/>
                <w:color w:val="003366"/>
                <w:sz w:val="13"/>
              </w:rPr>
              <w:t>(6)</w:t>
            </w:r>
          </w:p>
        </w:tc>
      </w:tr>
      <w:tr>
        <w:trPr/>
        <w:tc>
          <w:tcPr>
            <w:tcW w:w="1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Office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Jolla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Coastal Collection at Torrey Reserve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Torrey Point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Landmark at One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Beach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&amp; 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Lloyd Portfolio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City Center Bellevue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 Office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4,047</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(15,248)</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(3,360)</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34,575</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Retail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Country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Mountain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Bay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Lomas Santa Fe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Beach Towne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Geary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Shops at Kalakaua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Waikele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Alamo Quarry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Hassalo on Eighth - Retail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 Retail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5,006</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(6,374)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16,818</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91845"/>
                <wp:effectExtent l="0" t="0" r="0" b="0"/>
                <wp:wrapNone/>
                <wp:docPr id="46" name="Frame26"/>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14</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70"/>
        <w:gridCol w:w="2874"/>
        <w:gridCol w:w="350"/>
        <w:gridCol w:w="350"/>
        <w:gridCol w:w="498"/>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REVENUE AND OPERATING EXPENSES (CONTINUED)</w:t>
            </w:r>
          </w:p>
        </w:tc>
        <w:tc>
          <w:tcPr>
            <w:tcW w:w="119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22"/>
                          <a:stretch>
                            <a:fillRect/>
                          </a:stretch>
                        </pic:blipFill>
                        <pic:spPr bwMode="auto">
                          <a:xfrm>
                            <a:off x="0" y="0"/>
                            <a:ext cx="676275" cy="352425"/>
                          </a:xfrm>
                          <a:prstGeom prst="rect">
                            <a:avLst/>
                          </a:prstGeom>
                        </pic:spPr>
                      </pic:pic>
                    </a:graphicData>
                  </a:graphic>
                </wp:inline>
              </w:drawing>
            </w:r>
          </w:p>
        </w:tc>
      </w:tr>
      <w:tr>
        <w:trPr/>
        <w:tc>
          <w:tcPr>
            <w:tcW w:w="9007"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6"/>
        <w:gridCol w:w="385"/>
        <w:gridCol w:w="386"/>
        <w:gridCol w:w="109"/>
        <w:gridCol w:w="109"/>
        <w:gridCol w:w="109"/>
        <w:gridCol w:w="211"/>
        <w:gridCol w:w="739"/>
        <w:gridCol w:w="109"/>
        <w:gridCol w:w="109"/>
        <w:gridCol w:w="109"/>
        <w:gridCol w:w="109"/>
        <w:gridCol w:w="223"/>
        <w:gridCol w:w="667"/>
        <w:gridCol w:w="116"/>
        <w:gridCol w:w="109"/>
        <w:gridCol w:w="109"/>
        <w:gridCol w:w="109"/>
        <w:gridCol w:w="304"/>
        <w:gridCol w:w="1063"/>
        <w:gridCol w:w="159"/>
        <w:gridCol w:w="109"/>
        <w:gridCol w:w="109"/>
        <w:gridCol w:w="109"/>
        <w:gridCol w:w="211"/>
        <w:gridCol w:w="738"/>
        <w:gridCol w:w="109"/>
        <w:gridCol w:w="109"/>
        <w:gridCol w:w="109"/>
        <w:gridCol w:w="109"/>
        <w:gridCol w:w="255"/>
        <w:gridCol w:w="763"/>
        <w:gridCol w:w="132"/>
        <w:gridCol w:w="109"/>
        <w:gridCol w:w="109"/>
        <w:gridCol w:w="109"/>
        <w:gridCol w:w="211"/>
        <w:gridCol w:w="736"/>
        <w:gridCol w:w="160"/>
      </w:tblGrid>
      <w:tr>
        <w:trPr/>
        <w:tc>
          <w:tcPr>
            <w:tcW w:w="5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Three Months Ended June 30, 2026</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Billed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Rental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Cash </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Base Rent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Income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Reimbursements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Expenses </w:t>
            </w:r>
            <w:r>
              <w:rPr>
                <w:rFonts w:ascii="Times New Roman;serif" w:hAnsi="Times New Roman;serif"/>
                <w:b/>
                <w:color w:val="003366"/>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Adjustments </w:t>
            </w:r>
            <w:r>
              <w:rPr>
                <w:rFonts w:ascii="Times New Roman;serif" w:hAnsi="Times New Roman;serif"/>
                <w:b/>
                <w:color w:val="003366"/>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NOI </w:t>
            </w:r>
            <w:r>
              <w:rPr>
                <w:rFonts w:ascii="Times New Roman;serif" w:hAnsi="Times New Roman;serif"/>
                <w:b/>
                <w:color w:val="003366"/>
                <w:sz w:val="13"/>
              </w:rPr>
              <w:t>(6)</w:t>
            </w:r>
          </w:p>
        </w:tc>
      </w:tr>
      <w:tr>
        <w:trPr/>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Multifamily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 Palisades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 Beach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Mariner's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Fe Park RV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Ridge Apartments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Hassalo on Eighth -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 Multifamily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(722)</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9,390</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Mixed-Use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Waikiki Beach Walk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Waikiki Beach Walk - Embassy Suites™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 Mixed-Use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3,516</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5,718</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 Development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94,650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7,556</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10,000</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(41,577)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(4,153)</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66,476</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NOI is a non-GAAP supplemental earnings measure which the company considers meaningful in measuring its operating performance. A reconciliation of total cash NOI to net income is included in the Glossary of Terms.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60"/>
        <w:ind w:left="0" w:right="0" w:hanging="360"/>
        <w:jc w:val="left"/>
        <w:rPr/>
      </w:pPr>
      <w:r>
        <w:rPr>
          <w:rFonts w:ascii="Times New Roman;serif" w:hAnsi="Times New Roman;serif"/>
          <w:b w:val="false"/>
          <w:color w:val="000000"/>
          <w:sz w:val="16"/>
        </w:rPr>
        <w:t>(1)    Base rent for our office and retail portfolios and the retail portion of our mixed-use portfolio represents base rent for the three months ended June 30, 2026 (before deferrals, abatements, and tenant improvement reimbursements) and excludes the impact of straight-line rent and above (below) market rent adjustments. Total abatements for our office portfolio and retail portfolio were approximately $3.4 million and $0.1 million, respectively, for the three months ended June 30, 2026. Total abatements for our mixed-use portfolio were minimal for the three months ended June 30, 2026. In the case of triple net or modified gross leases, annualized base rent does not include tenant reimbursements for real estate taxes, insurance, common area or other operating expenses. Multifamily portfolio base rent represents base rent (including parking, before abatements) less vacancy allowance and employee rent credits and includes additional rents (which include insufficient notice penalties, month-to-month charges and pet rent). There were $0.7 million of abatements for our multifamily portfolio for the three months ended June 30, 2026. For Waikiki Beach Walk - Embassy Suites</w:t>
      </w:r>
      <w:r>
        <w:rPr>
          <w:rFonts w:ascii="Times New Roman;serif" w:hAnsi="Times New Roman;serif"/>
          <w:b w:val="false"/>
          <w:color w:val="000000"/>
          <w:sz w:val="10"/>
        </w:rPr>
        <w:t>TM</w:t>
      </w:r>
      <w:r>
        <w:rPr>
          <w:rFonts w:ascii="Times New Roman;serif" w:hAnsi="Times New Roman;serif"/>
          <w:b w:val="false"/>
          <w:color w:val="000000"/>
          <w:sz w:val="16"/>
        </w:rPr>
        <w:t>, base rent is equal to the actual room revenue for the three months ended June 30, 2026. Total tenant improvement reimbursements for our office portfolio, retail portfolio and the retail portion of our mixed-use portfolio were approximately $0.7 million in the aggregate for the three months ended June 30, 2026. A reconciliation of base rent to rental income is shown below:</w:t>
      </w:r>
    </w:p>
    <w:tbl>
      <w:tblPr>
        <w:tblW w:w="3366" w:type="dxa"/>
        <w:jc w:val="left"/>
        <w:tblInd w:w="0" w:type="dxa"/>
        <w:tblLayout w:type="fixed"/>
        <w:tblCellMar>
          <w:top w:w="28" w:type="dxa"/>
          <w:left w:w="28" w:type="dxa"/>
          <w:bottom w:w="28" w:type="dxa"/>
          <w:right w:w="28" w:type="dxa"/>
        </w:tblCellMar>
      </w:tblPr>
      <w:tblGrid>
        <w:gridCol w:w="826"/>
        <w:gridCol w:w="721"/>
        <w:gridCol w:w="733"/>
        <w:gridCol w:w="196"/>
        <w:gridCol w:w="73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Billed Expense Reimbursement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rent components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Rental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Other rental income includes rent abatement, rent deferral, above market rent, below market rent, lease incentives, tenant improvement reimbursement, storage rent and other miscellaneous rental income.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91845"/>
                <wp:effectExtent l="0" t="0" r="0" b="0"/>
                <wp:wrapNone/>
                <wp:docPr id="48" name="Frame27"/>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15</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70"/>
        <w:gridCol w:w="2874"/>
        <w:gridCol w:w="350"/>
        <w:gridCol w:w="350"/>
        <w:gridCol w:w="498"/>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REVENUE AND OPERATING EXPENSES (CONTINUED)</w:t>
            </w:r>
          </w:p>
        </w:tc>
        <w:tc>
          <w:tcPr>
            <w:tcW w:w="119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3"/>
                          <a:stretch>
                            <a:fillRect/>
                          </a:stretch>
                        </pic:blipFill>
                        <pic:spPr bwMode="auto">
                          <a:xfrm>
                            <a:off x="0" y="0"/>
                            <a:ext cx="676275" cy="352425"/>
                          </a:xfrm>
                          <a:prstGeom prst="rect">
                            <a:avLst/>
                          </a:prstGeom>
                        </pic:spPr>
                      </pic:pic>
                    </a:graphicData>
                  </a:graphic>
                </wp:inline>
              </w:drawing>
            </w:r>
          </w:p>
        </w:tc>
      </w:tr>
      <w:tr>
        <w:trPr/>
        <w:tc>
          <w:tcPr>
            <w:tcW w:w="9007"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Represents additional property-related income for the three months ended June 30, 2026, which includes (i) percentage rent, (ii) other rent (such as storage rent, license fees and association fees) and (iii) other property income (such as late fees, default fees, parking revenue, the reimbursement of general excise taxes, laundry income and food and beverage sales), and excludes lease termination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Represents billed tenant expense reimbursements for the three months ended June 30,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property operating expenses for the three months ended June 30, 2026. Property operating expenses includes all rental expenses, except non cash rent expense.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Represents rental adjustments related to base rent (deferrals and abatements).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    See Glossary of Terms.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    Coastal Collection at Torrey Reserve was formerly known as Torrey Reserve Campus.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    Base rent shown includes amounts related to American Assets Trust, L.P.'s corporate leases at Torrey Point and Lloyd Portfolio. This intercompany rent is eliminated in the consolidated statement of operations. The base rent and abatement were both $0.4 million for the three months ended June 30, 2026.</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91845"/>
                <wp:effectExtent l="0" t="0" r="0" b="0"/>
                <wp:wrapNone/>
                <wp:docPr id="50" name="Frame28"/>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16</w:t>
                            </w:r>
                          </w:p>
                        </w:tc>
                      </w:tr>
                    </w:tbl>
                    <w:p>
                      <w:pPr>
                        <w:pStyle w:val="TextBody"/>
                        <w:bidi w:val="0"/>
                        <w:spacing w:before="0" w:after="0"/>
                        <w:jc w:val="left"/>
                        <w:rPr/>
                      </w:pPr>
                      <w:r>
                        <w:rPr/>
                      </w:r>
                    </w:p>
                  </w:txbxContent>
                </v:textbox>
                <w10:wrap type="none"/>
              </v:rect>
            </w:pict>
          </mc:Fallback>
        </mc:AlternateContent>
      </w:r>
    </w:p>
    <w:tbl>
      <w:tblPr>
        <w:tblW w:w="6910" w:type="dxa"/>
        <w:jc w:val="left"/>
        <w:tblInd w:w="0" w:type="dxa"/>
        <w:tblLayout w:type="fixed"/>
        <w:tblCellMar>
          <w:top w:w="28" w:type="dxa"/>
          <w:left w:w="28" w:type="dxa"/>
          <w:bottom w:w="28" w:type="dxa"/>
          <w:right w:w="28" w:type="dxa"/>
        </w:tblCellMar>
      </w:tblPr>
      <w:tblGrid>
        <w:gridCol w:w="2070"/>
        <w:gridCol w:w="1820"/>
        <w:gridCol w:w="1824"/>
        <w:gridCol w:w="350"/>
        <w:gridCol w:w="350"/>
        <w:gridCol w:w="496"/>
      </w:tblGrid>
      <w:tr>
        <w:trPr/>
        <w:tc>
          <w:tcPr>
            <w:tcW w:w="20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SEGMENT CAPITAL EXPENDITURES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4"/>
                          <a:stretch>
                            <a:fillRect/>
                          </a:stretch>
                        </pic:blipFill>
                        <pic:spPr bwMode="auto">
                          <a:xfrm>
                            <a:off x="0" y="0"/>
                            <a:ext cx="676275" cy="352425"/>
                          </a:xfrm>
                          <a:prstGeom prst="rect">
                            <a:avLst/>
                          </a:prstGeom>
                        </pic:spPr>
                      </pic:pic>
                    </a:graphicData>
                  </a:graphic>
                </wp:inline>
              </w:drawing>
            </w:r>
          </w:p>
        </w:tc>
      </w:tr>
      <w:tr>
        <w:trPr/>
        <w:tc>
          <w:tcPr>
            <w:tcW w:w="571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969" w:type="dxa"/>
        <w:jc w:val="left"/>
        <w:tblInd w:w="0" w:type="dxa"/>
        <w:tblLayout w:type="fixed"/>
        <w:tblCellMar>
          <w:top w:w="28" w:type="dxa"/>
          <w:left w:w="28" w:type="dxa"/>
          <w:bottom w:w="28" w:type="dxa"/>
          <w:right w:w="28" w:type="dxa"/>
        </w:tblCellMar>
      </w:tblPr>
      <w:tblGrid>
        <w:gridCol w:w="412"/>
        <w:gridCol w:w="349"/>
        <w:gridCol w:w="350"/>
        <w:gridCol w:w="109"/>
        <w:gridCol w:w="109"/>
        <w:gridCol w:w="109"/>
        <w:gridCol w:w="266"/>
        <w:gridCol w:w="931"/>
        <w:gridCol w:w="139"/>
        <w:gridCol w:w="109"/>
        <w:gridCol w:w="109"/>
        <w:gridCol w:w="109"/>
        <w:gridCol w:w="245"/>
        <w:gridCol w:w="857"/>
        <w:gridCol w:w="129"/>
        <w:gridCol w:w="109"/>
        <w:gridCol w:w="109"/>
        <w:gridCol w:w="109"/>
        <w:gridCol w:w="275"/>
        <w:gridCol w:w="962"/>
        <w:gridCol w:w="144"/>
        <w:gridCol w:w="109"/>
        <w:gridCol w:w="109"/>
        <w:gridCol w:w="109"/>
        <w:gridCol w:w="290"/>
        <w:gridCol w:w="1014"/>
        <w:gridCol w:w="152"/>
        <w:gridCol w:w="109"/>
        <w:gridCol w:w="109"/>
        <w:gridCol w:w="109"/>
        <w:gridCol w:w="269"/>
        <w:gridCol w:w="806"/>
        <w:gridCol w:w="141"/>
        <w:gridCol w:w="109"/>
        <w:gridCol w:w="109"/>
        <w:gridCol w:w="109"/>
        <w:gridCol w:w="244"/>
        <w:gridCol w:w="852"/>
        <w:gridCol w:w="180"/>
      </w:tblGrid>
      <w:tr>
        <w:trPr/>
        <w:tc>
          <w:tcPr>
            <w:tcW w:w="4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Three Months Ended June 30,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and Leasing Commissions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Capital Expenditures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 Tenant Improvements, Leasing Commissions and Capital Expenditures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Redevelopment, Expansions and Repositioning </w:t>
            </w:r>
            <w:r>
              <w:rPr>
                <w:rFonts w:ascii="Times New Roman;serif" w:hAnsi="Times New Roman;serif"/>
                <w:b/>
                <w:color w:val="003366"/>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New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 Capital Expenditures</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5,002</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6,539</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11,541</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12,592</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2,303</w:t>
            </w: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26,436</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Six Months Ended June 30,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and Leasing Commissions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Capital Expenditures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 Tenant Improvements, Leasing Commissions and Capital Expenditures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Redevelopment, Expansions and Repositioning </w:t>
            </w:r>
            <w:r>
              <w:rPr>
                <w:rFonts w:ascii="Times New Roman;serif" w:hAnsi="Times New Roman;serif"/>
                <w:b/>
                <w:color w:val="003366"/>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New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Total Capital Expenditures</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15,607</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12,677</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28,284</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17,915</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3,477</w:t>
            </w: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49,676</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This capital expenditures category includes spending related to repositioning initiatives at operating properties, such as building improvements intended to attract tenants and increase revenues and/or occupancy rates at properties designated for such initiatives, as well as planned capital expenditures identified at the time of acquisition, such as building improvements necessary to bring an acquired property to our operational standards, and tenant improvements and leasing commissions incurred prior to an acquired property reaching stabilization. These amounts are excluded from recurring capital expenditures for purposes of computing FAD.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91845"/>
                <wp:effectExtent l="0" t="0" r="0" b="0"/>
                <wp:wrapNone/>
                <wp:docPr id="52" name="Frame29"/>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17</w:t>
                            </w:r>
                          </w:p>
                        </w:tc>
                      </w:tr>
                    </w:tbl>
                    <w:p>
                      <w:pPr>
                        <w:pStyle w:val="TextBody"/>
                        <w:bidi w:val="0"/>
                        <w:spacing w:before="0" w:after="0"/>
                        <w:jc w:val="left"/>
                        <w:rPr/>
                      </w:pPr>
                      <w:r>
                        <w:rPr/>
                      </w:r>
                    </w:p>
                  </w:txbxContent>
                </v:textbox>
                <w10:wrap type="none"/>
              </v:rect>
            </w:pict>
          </mc:Fallback>
        </mc:AlternateContent>
      </w:r>
    </w:p>
    <w:tbl>
      <w:tblPr>
        <w:tblW w:w="6836" w:type="dxa"/>
        <w:jc w:val="left"/>
        <w:tblInd w:w="0" w:type="dxa"/>
        <w:tblLayout w:type="fixed"/>
        <w:tblCellMar>
          <w:top w:w="28" w:type="dxa"/>
          <w:left w:w="28" w:type="dxa"/>
          <w:bottom w:w="28" w:type="dxa"/>
          <w:right w:w="28" w:type="dxa"/>
        </w:tblCellMar>
      </w:tblPr>
      <w:tblGrid>
        <w:gridCol w:w="2043"/>
        <w:gridCol w:w="1796"/>
        <w:gridCol w:w="1801"/>
        <w:gridCol w:w="350"/>
        <w:gridCol w:w="350"/>
        <w:gridCol w:w="496"/>
      </w:tblGrid>
      <w:tr>
        <w:trPr/>
        <w:tc>
          <w:tcPr>
            <w:tcW w:w="204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SUMMARY OF OUTSTANDING DEBT</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5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4" descr=""/>
                          <pic:cNvPicPr>
                            <a:picLocks noChangeAspect="1" noChangeArrowheads="1"/>
                          </pic:cNvPicPr>
                        </pic:nvPicPr>
                        <pic:blipFill>
                          <a:blip r:embed="rId25"/>
                          <a:stretch>
                            <a:fillRect/>
                          </a:stretch>
                        </pic:blipFill>
                        <pic:spPr bwMode="auto">
                          <a:xfrm>
                            <a:off x="0" y="0"/>
                            <a:ext cx="676275" cy="352425"/>
                          </a:xfrm>
                          <a:prstGeom prst="rect">
                            <a:avLst/>
                          </a:prstGeom>
                        </pic:spPr>
                      </pic:pic>
                    </a:graphicData>
                  </a:graphic>
                </wp:inline>
              </w:drawing>
            </w:r>
          </w:p>
        </w:tc>
      </w:tr>
      <w:tr>
        <w:trPr/>
        <w:tc>
          <w:tcPr>
            <w:tcW w:w="564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6"/>
        <w:gridCol w:w="1122"/>
        <w:gridCol w:w="1125"/>
        <w:gridCol w:w="109"/>
        <w:gridCol w:w="109"/>
        <w:gridCol w:w="109"/>
        <w:gridCol w:w="215"/>
        <w:gridCol w:w="1014"/>
        <w:gridCol w:w="111"/>
        <w:gridCol w:w="109"/>
        <w:gridCol w:w="109"/>
        <w:gridCol w:w="109"/>
        <w:gridCol w:w="262"/>
        <w:gridCol w:w="264"/>
        <w:gridCol w:w="631"/>
        <w:gridCol w:w="109"/>
        <w:gridCol w:w="109"/>
        <w:gridCol w:w="109"/>
        <w:gridCol w:w="211"/>
        <w:gridCol w:w="841"/>
        <w:gridCol w:w="109"/>
        <w:gridCol w:w="109"/>
        <w:gridCol w:w="109"/>
        <w:gridCol w:w="109"/>
        <w:gridCol w:w="446"/>
        <w:gridCol w:w="446"/>
        <w:gridCol w:w="448"/>
        <w:gridCol w:w="109"/>
        <w:gridCol w:w="109"/>
        <w:gridCol w:w="158"/>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Outstanding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Annual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Service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Maturity Date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Center Bellevue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 2027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Secured Notes Payable / Weighted Average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75,000</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 A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 2030</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Series D Notes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 2027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Series E Notes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23, 2029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Series G Notes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30, 2030</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3.375% Senior Notes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 2031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6.150% Senior Notes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 2034</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Unsecured Notes Payable / Weighted Average </w:t>
            </w:r>
            <w:r>
              <w:rPr>
                <w:rFonts w:ascii="Times New Roman;serif" w:hAnsi="Times New Roman;serif"/>
                <w:b/>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1,625,000</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321,772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Unsecured Line of Credit </w:t>
            </w:r>
            <w:r>
              <w:rPr>
                <w:rFonts w:ascii="Times New Roman;serif" w:hAnsi="Times New Roman;serif"/>
                <w:b/>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interest and principal payments due over the next twelve months. </w:t>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(2)    The Secured Notes Payable total does not include debt issuance costs, net of $0.1 million.</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Term Loan A accrues interest at a variable rate, which we fixed as part of an interest rate swap for an effective interest rate of 2.65% through January 5, 2027, subject to adjustments based on our consolidated leverage ratio. After January 5, 2027, interest is accrued at a variable rate based on the applicable Secured Overnight Financing Rate ("SOFR"), plus a spread which ranges from 1.20%-1.70% based on our consolidated leverage ratio. For the purpose of the annual debt service calculation, the SOFR rate of 3.65% and spread of 1.20% as of April 1, 2026 (the effective date of the Fourth Amended and Restated Credit Agreement) is utilized. </w:t>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(4)    On April 1, 2026, the maturity date for Term Loan A was extended from January 5, 2027 to April 1, 2030, subject to one twelve-month extension option.</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$250 million of 4.29% Senior Guaranteed Notes, Series D, due March 1, 2027. Net of the settlement of the forward-starting interest rate swap, the effective interest rate for the Series D Notes is approximately 3.87% per annum, through maturity.</w:t>
      </w:r>
    </w:p>
    <w:p>
      <w:pPr>
        <w:pStyle w:val="TextBody"/>
        <w:bidi w:val="0"/>
        <w:spacing w:lineRule="auto" w:line="288" w:before="20" w:after="283"/>
        <w:ind w:left="0" w:right="0" w:hanging="360"/>
        <w:jc w:val="left"/>
        <w:rPr/>
      </w:pPr>
      <w:r>
        <w:rPr>
          <w:rFonts w:ascii="Times New Roman;serif" w:hAnsi="Times New Roman;serif"/>
          <w:b w:val="false"/>
          <w:color w:val="000000"/>
          <w:sz w:val="16"/>
        </w:rPr>
        <w:t>(6)    $100 million</w:t>
      </w:r>
      <w:r>
        <w:rPr>
          <w:color w:val="000000"/>
        </w:rPr>
        <w:t xml:space="preserve"> </w:t>
      </w:r>
      <w:r>
        <w:rPr>
          <w:rFonts w:ascii="Times New Roman;serif" w:hAnsi="Times New Roman;serif"/>
          <w:b w:val="false"/>
          <w:color w:val="000000"/>
          <w:sz w:val="16"/>
        </w:rPr>
        <w:t>of 4.24% Senior Guaranteed Notes, Series E, due May 23, 2029. Net of the settlement of the treasury lock contract, the effective interest rate for the Series E Notes is approximately 4.18%, through maturity.</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    $150 million of 3.91% Senior Guaranteed Notes, Series G, due July 30, 2030. Net of the settlement of the treasury lock contract, the effective interest rate for the Series G Notes is approximately 3.88% through maturity.</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    $500 million of 3.375% Senior Notes due February 1, 2031. Net of the debt issuance discount, the effective interest rate for the 3.375% Notes is approximately 3.502% through maturity.</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    $525 million of 6.150% Senior Notes due October 1, 2034. Net of the debt issuance discount and settlement of the treasury lock contracts, the effective interest rate for the 6.150% Notes is approximately 6.209% through maturity.</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    The Unsecured Notes Payable total does not include debt issuance costs and discounts, net of $11.9 million.</w:t>
      </w:r>
    </w:p>
    <w:p>
      <w:pPr>
        <w:pStyle w:val="TextBody"/>
        <w:bidi w:val="0"/>
        <w:spacing w:lineRule="auto" w:line="288" w:before="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    On April 1, 2026, the Unsecured Line of Credit (the "Revolver Loan") capacity was increased to $500 million, with a maturity date of April 1, 2030, subject to two, six-month extension options. The Revolver Loan currently accrues interest at SOFR, plus the applicable SOFR adjustment and a spread which ranges from 1.05%-1.50%, based on our consolidated leverage ratio. The Revolver Loan total does not include debt issuance costs, net of $3.8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91845"/>
                <wp:effectExtent l="0" t="0" r="0" b="0"/>
                <wp:wrapNone/>
                <wp:docPr id="54" name="Frame30"/>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18</w:t>
                            </w:r>
                          </w:p>
                        </w:tc>
                      </w:tr>
                    </w:tbl>
                    <w:p>
                      <w:pPr>
                        <w:pStyle w:val="TextBody"/>
                        <w:bidi w:val="0"/>
                        <w:spacing w:before="0" w:after="0"/>
                        <w:jc w:val="left"/>
                        <w:rPr/>
                      </w:pPr>
                      <w:r>
                        <w:rPr/>
                      </w:r>
                    </w:p>
                  </w:txbxContent>
                </v:textbox>
                <w10:wrap type="none"/>
              </v:rect>
            </w:pict>
          </mc:Fallback>
        </mc:AlternateContent>
      </w:r>
    </w:p>
    <w:tbl>
      <w:tblPr>
        <w:tblW w:w="5561" w:type="dxa"/>
        <w:jc w:val="left"/>
        <w:tblInd w:w="0" w:type="dxa"/>
        <w:tblLayout w:type="fixed"/>
        <w:tblCellMar>
          <w:top w:w="28" w:type="dxa"/>
          <w:left w:w="28" w:type="dxa"/>
          <w:bottom w:w="28" w:type="dxa"/>
          <w:right w:w="28" w:type="dxa"/>
        </w:tblCellMar>
      </w:tblPr>
      <w:tblGrid>
        <w:gridCol w:w="1582"/>
        <w:gridCol w:w="1391"/>
        <w:gridCol w:w="1392"/>
        <w:gridCol w:w="350"/>
        <w:gridCol w:w="350"/>
        <w:gridCol w:w="496"/>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MARKET CAPITALIZATION</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26"/>
                          <a:stretch>
                            <a:fillRect/>
                          </a:stretch>
                        </pic:blipFill>
                        <pic:spPr bwMode="auto">
                          <a:xfrm>
                            <a:off x="0" y="0"/>
                            <a:ext cx="676275" cy="352425"/>
                          </a:xfrm>
                          <a:prstGeom prst="rect">
                            <a:avLst/>
                          </a:prstGeom>
                        </pic:spPr>
                      </pic:pic>
                    </a:graphicData>
                  </a:graphic>
                </wp:inline>
              </w:drawing>
            </w:r>
          </w:p>
        </w:tc>
      </w:tr>
      <w:tr>
        <w:trPr/>
        <w:tc>
          <w:tcPr>
            <w:tcW w:w="436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74"/>
        <w:gridCol w:w="1615"/>
        <w:gridCol w:w="1578"/>
        <w:gridCol w:w="395"/>
        <w:gridCol w:w="395"/>
        <w:gridCol w:w="395"/>
        <w:gridCol w:w="819"/>
        <w:gridCol w:w="409"/>
        <w:gridCol w:w="766"/>
        <w:gridCol w:w="109"/>
        <w:gridCol w:w="109"/>
        <w:gridCol w:w="109"/>
        <w:gridCol w:w="521"/>
        <w:gridCol w:w="527"/>
        <w:gridCol w:w="584"/>
      </w:tblGrid>
      <w:tr>
        <w:trPr/>
        <w:tc>
          <w:tcPr>
            <w:tcW w:w="187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82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amounts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data</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June 30, 2026</w:t>
            </w:r>
          </w:p>
        </w:tc>
      </w:tr>
      <w:tr>
        <w:trPr/>
        <w:tc>
          <w:tcPr>
            <w:tcW w:w="5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8"/>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61,404 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outstanding</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16,182 </w:t>
            </w:r>
          </w:p>
        </w:tc>
        <w:tc>
          <w:tcPr>
            <w:tcW w:w="5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and common units outstanding</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8"/>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77,586 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per common share</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5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market capitalization</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1,915,598 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1,700,000 </w:t>
            </w:r>
          </w:p>
        </w:tc>
        <w:tc>
          <w:tcPr>
            <w:tcW w:w="5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 capitalization</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3,615,598 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on hand</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w:t>
            </w:r>
          </w:p>
        </w:tc>
        <w:tc>
          <w:tcPr>
            <w:tcW w:w="5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enterprise value</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3,505,901 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unencumbered assets, gross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gridSpan w:val="7"/>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3,795,183 </w:t>
            </w:r>
          </w:p>
        </w:tc>
        <w:tc>
          <w:tcPr>
            <w:tcW w:w="5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debt/Total capitalization</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debt/Total enterprise value</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debt/Total enterprise value</w:t>
            </w:r>
            <w:r>
              <w:rPr>
                <w:color w:val="000000"/>
              </w:rPr>
              <w:t xml:space="preserve"> </w:t>
            </w:r>
            <w:r>
              <w:rPr>
                <w:rFonts w:ascii="Times New Roman;serif" w:hAnsi="Times New Roman;serif"/>
                <w:b w:val="false"/>
                <w:color w:val="000000"/>
                <w:sz w:val="13"/>
              </w:rPr>
              <w:t>(1)</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506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unencumbered assets, gross/Unsecured debt</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Trailing 12 Months</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debt/Adjusted EBITDA </w:t>
            </w:r>
            <w:r>
              <w:rPr>
                <w:rFonts w:ascii="Times New Roman;serif" w:hAnsi="Times New Roman;serif"/>
                <w:b w:val="false"/>
                <w:color w:val="000000"/>
                <w:sz w:val="13"/>
              </w:rPr>
              <w:t>(2)(3)</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debt/Adjusted EBITDA </w:t>
            </w:r>
            <w:r>
              <w:rPr>
                <w:rFonts w:ascii="Times New Roman;serif" w:hAnsi="Times New Roman;serif"/>
                <w:b w:val="false"/>
                <w:color w:val="000000"/>
                <w:sz w:val="13"/>
              </w:rPr>
              <w:t>(1)(2)(3)</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coverage ratio </w:t>
            </w:r>
            <w:r>
              <w:rPr>
                <w:rFonts w:ascii="Times New Roman;serif" w:hAnsi="Times New Roman;serif"/>
                <w:b w:val="false"/>
                <w:color w:val="000000"/>
                <w:sz w:val="13"/>
              </w:rPr>
              <w:t>(4)</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charge coverage ratio </w:t>
            </w:r>
            <w:r>
              <w:rPr>
                <w:rFonts w:ascii="Times New Roman;serif" w:hAnsi="Times New Roman;serif"/>
                <w:b w:val="false"/>
                <w:color w:val="000000"/>
                <w:sz w:val="13"/>
              </w:rPr>
              <w:t>(4)</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Debt Covenants (3.375% Senior Notes &amp; 6.150% Senior Notes)</w:t>
            </w:r>
            <w:r>
              <w:rPr>
                <w:color w:val="000000"/>
              </w:rPr>
              <w:t xml:space="preserve"> </w:t>
            </w:r>
            <w:r>
              <w:rPr>
                <w:rFonts w:ascii="Times New Roman;serif" w:hAnsi="Times New Roman;serif"/>
                <w:b/>
                <w:color w:val="000000"/>
                <w:sz w:val="13"/>
              </w:rPr>
              <w:t>(5)</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50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Debt Test</w:t>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60%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Test</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 Test</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Total Unencumbered Assets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224.1%</w:t>
            </w:r>
          </w:p>
        </w:tc>
      </w:tr>
    </w:tbl>
    <w:p>
      <w:pPr>
        <w:pStyle w:val="TextBody"/>
        <w:bidi w:val="0"/>
        <w:spacing w:before="0" w:after="0"/>
        <w:jc w:val="left"/>
        <w:rPr/>
      </w:pPr>
      <w:r>
        <w:rPr/>
        <w:drawing>
          <wp:inline distT="0" distB="0" distL="0" distR="0">
            <wp:extent cx="4343400" cy="3209925"/>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27"/>
                    <a:stretch>
                      <a:fillRect/>
                    </a:stretch>
                  </pic:blipFill>
                  <pic:spPr bwMode="auto">
                    <a:xfrm>
                      <a:off x="0" y="0"/>
                      <a:ext cx="4343400" cy="3209925"/>
                    </a:xfrm>
                    <a:prstGeom prst="rect">
                      <a:avLst/>
                    </a:prstGeom>
                  </pic:spPr>
                </pic:pic>
              </a:graphicData>
            </a:graphic>
          </wp:inline>
        </w:drawing>
      </w:r>
    </w:p>
    <w:tbl>
      <w:tblPr>
        <w:tblW w:w="7347" w:type="dxa"/>
        <w:jc w:val="left"/>
        <w:tblInd w:w="0" w:type="dxa"/>
        <w:tblLayout w:type="fixed"/>
        <w:tblCellMar>
          <w:top w:w="28" w:type="dxa"/>
          <w:left w:w="28" w:type="dxa"/>
          <w:bottom w:w="28" w:type="dxa"/>
          <w:right w:w="28" w:type="dxa"/>
        </w:tblCellMar>
      </w:tblPr>
      <w:tblGrid>
        <w:gridCol w:w="987"/>
        <w:gridCol w:w="869"/>
        <w:gridCol w:w="873"/>
        <w:gridCol w:w="159"/>
        <w:gridCol w:w="159"/>
        <w:gridCol w:w="161"/>
        <w:gridCol w:w="155"/>
        <w:gridCol w:w="155"/>
        <w:gridCol w:w="156"/>
        <w:gridCol w:w="159"/>
        <w:gridCol w:w="159"/>
        <w:gridCol w:w="161"/>
        <w:gridCol w:w="155"/>
        <w:gridCol w:w="155"/>
        <w:gridCol w:w="156"/>
        <w:gridCol w:w="155"/>
        <w:gridCol w:w="155"/>
        <w:gridCol w:w="156"/>
        <w:gridCol w:w="155"/>
        <w:gridCol w:w="155"/>
        <w:gridCol w:w="156"/>
        <w:gridCol w:w="159"/>
        <w:gridCol w:w="159"/>
        <w:gridCol w:w="161"/>
        <w:gridCol w:w="159"/>
        <w:gridCol w:w="159"/>
        <w:gridCol w:w="161"/>
        <w:gridCol w:w="155"/>
        <w:gridCol w:w="155"/>
        <w:gridCol w:w="156"/>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Weighted Average Fixed Interest Rate</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2030</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2031</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2032</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2033</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vMerge w:val="continue"/>
            <w:tcBorders/>
            <w:tcMar>
              <w:top w:w="0" w:type="dxa"/>
              <w:left w:w="0" w:type="dxa"/>
              <w:bottom w:w="0" w:type="dxa"/>
              <w:right w:w="0" w:type="dxa"/>
            </w:tcMar>
            <w:vAlign w:val="center"/>
          </w:tcPr>
          <w:p>
            <w:pPr>
              <w:pStyle w:val="Normal"/>
              <w:bidi w:val="0"/>
              <w:jc w:val="left"/>
              <w:rPr/>
            </w:pPr>
            <w:r>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55" w:type="dxa"/>
        <w:jc w:val="left"/>
        <w:tblInd w:w="0" w:type="dxa"/>
        <w:tblLayout w:type="fixed"/>
        <w:tblCellMar>
          <w:top w:w="28" w:type="dxa"/>
          <w:left w:w="28" w:type="dxa"/>
          <w:bottom w:w="28" w:type="dxa"/>
          <w:right w:w="28" w:type="dxa"/>
        </w:tblCellMar>
      </w:tblPr>
      <w:tblGrid>
        <w:gridCol w:w="1209"/>
        <w:gridCol w:w="1066"/>
        <w:gridCol w:w="1070"/>
        <w:gridCol w:w="149"/>
        <w:gridCol w:w="149"/>
        <w:gridCol w:w="212"/>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Weighted Average Fixed Interest Rate:</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Weighted Average Term to Maturity (in years):</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4.8 </w:t>
            </w:r>
          </w:p>
        </w:tc>
      </w:tr>
    </w:tbl>
    <w:tbl>
      <w:tblPr>
        <w:tblW w:w="3047" w:type="dxa"/>
        <w:jc w:val="left"/>
        <w:tblInd w:w="0" w:type="dxa"/>
        <w:tblLayout w:type="fixed"/>
        <w:tblCellMar>
          <w:top w:w="28" w:type="dxa"/>
          <w:left w:w="28" w:type="dxa"/>
          <w:bottom w:w="28" w:type="dxa"/>
          <w:right w:w="28" w:type="dxa"/>
        </w:tblCellMar>
      </w:tblPr>
      <w:tblGrid>
        <w:gridCol w:w="554"/>
        <w:gridCol w:w="487"/>
        <w:gridCol w:w="489"/>
        <w:gridCol w:w="225"/>
        <w:gridCol w:w="225"/>
        <w:gridCol w:w="226"/>
        <w:gridCol w:w="246"/>
        <w:gridCol w:w="246"/>
        <w:gridCol w:w="349"/>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Ratings</w:t>
            </w:r>
          </w:p>
        </w:tc>
      </w:tr>
      <w:tr>
        <w:trPr/>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 Agency</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Baa3</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 &amp; Poors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Net debt is equal to total debt less cash on hand.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See Glossary of Terms for discussion of EBITDA and Adjusted EBITDA.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As used here, Adjusted EBITDA represents the actual for the three months ended June 30, 2026, annualized.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Calculated as Adjusted EBITDA divided by interest on borrowed funds, including capitalized interest and excluding debt fair value adjustments and loan fee amortization.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    The debt covenant headings set forth in this table are utilized, and the covenants themselves are detailed, in the documents governing the 3.375% Senior Notes and the 6.150% Senior Notes. </w:t>
      </w:r>
    </w:p>
    <w:p>
      <w:pPr>
        <w:pStyle w:val="TextBody"/>
        <w:bidi w:val="0"/>
        <w:spacing w:before="0" w:after="2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Adjusted EBITDA is a non-GAAP supplemental earnings measure which we consider meaningful in measuring our operating performance. Reconciliations of Adjusted EBITDA to net income are in the Glossary of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91845"/>
                <wp:effectExtent l="0" t="0" r="0" b="0"/>
                <wp:wrapNone/>
                <wp:docPr id="57" name="Frame31"/>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19</w:t>
                            </w:r>
                          </w:p>
                        </w:tc>
                      </w:tr>
                    </w:tbl>
                    <w:p>
                      <w:pPr>
                        <w:pStyle w:val="TextBody"/>
                        <w:bidi w:val="0"/>
                        <w:spacing w:before="0" w:after="0"/>
                        <w:jc w:val="left"/>
                        <w:rPr/>
                      </w:pPr>
                      <w:r>
                        <w:rPr/>
                      </w:r>
                    </w:p>
                  </w:txbxContent>
                </v:textbox>
                <w10:wrap type="none"/>
              </v:rect>
            </w:pict>
          </mc:Fallback>
        </mc:AlternateContent>
      </w:r>
    </w:p>
    <w:tbl>
      <w:tblPr>
        <w:tblW w:w="8711" w:type="dxa"/>
        <w:jc w:val="left"/>
        <w:tblInd w:w="0" w:type="dxa"/>
        <w:tblLayout w:type="fixed"/>
        <w:tblCellMar>
          <w:top w:w="28" w:type="dxa"/>
          <w:left w:w="28" w:type="dxa"/>
          <w:bottom w:w="28" w:type="dxa"/>
          <w:right w:w="28" w:type="dxa"/>
        </w:tblCellMar>
      </w:tblPr>
      <w:tblGrid>
        <w:gridCol w:w="2723"/>
        <w:gridCol w:w="2393"/>
        <w:gridCol w:w="2399"/>
        <w:gridCol w:w="350"/>
        <w:gridCol w:w="350"/>
        <w:gridCol w:w="496"/>
      </w:tblGrid>
      <w:tr>
        <w:trPr/>
        <w:tc>
          <w:tcPr>
            <w:tcW w:w="272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SUMMARY OF DEVELOPMENT OPPORTUNITIES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28"/>
                          <a:stretch>
                            <a:fillRect/>
                          </a:stretch>
                        </pic:blipFill>
                        <pic:spPr bwMode="auto">
                          <a:xfrm>
                            <a:off x="0" y="0"/>
                            <a:ext cx="676275" cy="352425"/>
                          </a:xfrm>
                          <a:prstGeom prst="rect">
                            <a:avLst/>
                          </a:prstGeom>
                        </pic:spPr>
                      </pic:pic>
                    </a:graphicData>
                  </a:graphic>
                </wp:inline>
              </w:drawing>
            </w:r>
          </w:p>
        </w:tc>
      </w:tr>
      <w:tr>
        <w:trPr/>
        <w:tc>
          <w:tcPr>
            <w:tcW w:w="751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1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109"/>
        <w:gridCol w:w="109"/>
        <w:gridCol w:w="109"/>
        <w:gridCol w:w="109"/>
        <w:gridCol w:w="109"/>
        <w:gridCol w:w="172"/>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488"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Our portfolio has numerous potential opportunities to create future shareholder value. These opportunities could be subject to government approvals, lender consents, tenant consents, market conditions, availability of debt and/or equity financing, etc. Many of these opportunities are in their preliminary stages and may not ultimately come to fruition. This schedule will update as we modify various assumptions and markets conditions change. Square footages and units set forth below are estimates only and ultimately may differ materially from actual square footages and units.</w:t>
            </w:r>
          </w:p>
        </w:tc>
        <w:tc>
          <w:tcPr>
            <w:tcW w:w="717" w:type="dxa"/>
            <w:gridSpan w:val="6"/>
            <w:tcBorders/>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80" w:type="dxa"/>
            <w:gridSpan w:val="7"/>
            <w:tcBorders/>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5799" w:type="dxa"/>
            <w:gridSpan w:val="20"/>
            <w:tcBorders/>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5799" w:type="dxa"/>
            <w:gridSpan w:val="20"/>
            <w:tcBorders/>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5"/>
        <w:gridCol w:w="576"/>
        <w:gridCol w:w="580"/>
        <w:gridCol w:w="404"/>
        <w:gridCol w:w="348"/>
        <w:gridCol w:w="340"/>
        <w:gridCol w:w="380"/>
        <w:gridCol w:w="380"/>
        <w:gridCol w:w="385"/>
        <w:gridCol w:w="428"/>
        <w:gridCol w:w="428"/>
        <w:gridCol w:w="430"/>
        <w:gridCol w:w="419"/>
        <w:gridCol w:w="419"/>
        <w:gridCol w:w="420"/>
        <w:gridCol w:w="1009"/>
        <w:gridCol w:w="1009"/>
        <w:gridCol w:w="1445"/>
      </w:tblGrid>
      <w:tr>
        <w:trPr/>
        <w:tc>
          <w:tcPr>
            <w:tcW w:w="80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742" w:type="dxa"/>
            <w:gridSpan w:val="15"/>
            <w:tcBorders>
              <w:top w:val="single" w:sz="12" w:space="0" w:color="000000"/>
              <w:left w:val="single" w:sz="12"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Development/Redevelopment Pipeline</w:t>
            </w:r>
          </w:p>
        </w:tc>
        <w:tc>
          <w:tcPr>
            <w:tcW w:w="3463" w:type="dxa"/>
            <w:gridSpan w:val="3"/>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Property</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Property Type</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Location</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Estimated Rentable</w:t>
              <w:br/>
              <w:t>Square Feet</w:t>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Multifamily Units</w:t>
            </w:r>
          </w:p>
        </w:tc>
        <w:tc>
          <w:tcPr>
            <w:tcW w:w="3463" w:type="dxa"/>
            <w:gridSpan w:val="3"/>
            <w:tcBorders>
              <w:right w:val="single" w:sz="12"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3366"/>
                <w:sz w:val="18"/>
              </w:rPr>
            </w:pPr>
            <w:r>
              <w:rPr>
                <w:rFonts w:ascii="Times New Roman;serif" w:hAnsi="Times New Roman;serif"/>
                <w:b/>
                <w:color w:val="003366"/>
                <w:sz w:val="18"/>
              </w:rPr>
              <w:t>Opportunity</w:t>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463"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463"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463"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12"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Waikele Center</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w:t>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Honolulu, HI</w:t>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120,000</w:t>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463" w:type="dxa"/>
            <w:gridSpan w:val="3"/>
            <w:tcBorders>
              <w:top w:val="single" w:sz="8" w:space="0" w:color="000000"/>
              <w:right w:val="single" w:sz="12" w:space="0" w:color="000000"/>
            </w:tcBorders>
            <w:tcMar>
              <w:top w:w="52"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120,000 square foot retail building (former KMart space)</w:t>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Lomas Santa Fe Plaza</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Solana Beach, CA</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3463" w:type="dxa"/>
            <w:gridSpan w:val="3"/>
            <w:tcBorders>
              <w:right w:val="single" w:sz="12"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multifamily units</w:t>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Genesee Park</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Diego, CA</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3463" w:type="dxa"/>
            <w:gridSpan w:val="3"/>
            <w:tcBorders>
              <w:right w:val="single" w:sz="12"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multifamily units</w:t>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Solana Beach Towne Centre</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Solana Beach, CA</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3463" w:type="dxa"/>
            <w:gridSpan w:val="3"/>
            <w:tcBorders>
              <w:right w:val="single" w:sz="12"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multifamily units</w:t>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Carmel Mountain Plaza</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Diego, CA</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3463" w:type="dxa"/>
            <w:gridSpan w:val="3"/>
            <w:tcBorders>
              <w:right w:val="single" w:sz="12"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multifamily units</w:t>
            </w:r>
          </w:p>
        </w:tc>
      </w:tr>
      <w:tr>
        <w:trPr/>
        <w:tc>
          <w:tcPr>
            <w:tcW w:w="196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Lloyd Portfolio - multiple phases </w:t>
            </w:r>
            <w:r>
              <w:rPr>
                <w:rFonts w:ascii="Times New Roman;serif" w:hAnsi="Times New Roman;serif"/>
                <w:b w:val="false"/>
                <w:color w:val="000000"/>
                <w:sz w:val="12"/>
              </w:rPr>
              <w:t>(1)</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Mixed Use</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Portland, OR</w:t>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3"/>
            <w:tcBorders>
              <w:right w:val="single" w:sz="1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left w:val="single" w:sz="12" w:space="0" w:color="000000"/>
              <w:bottom w:val="single" w:sz="12" w:space="0" w:color="000000"/>
            </w:tcBorders>
            <w:tcMar>
              <w:top w:w="0" w:type="dxa"/>
              <w:bottom w:w="3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Phase 2B - Oregon Square</w:t>
            </w:r>
          </w:p>
        </w:tc>
        <w:tc>
          <w:tcPr>
            <w:tcW w:w="109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385,000</w:t>
            </w:r>
          </w:p>
        </w:tc>
        <w:tc>
          <w:tcPr>
            <w:tcW w:w="1258"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463" w:type="dxa"/>
            <w:gridSpan w:val="3"/>
            <w:tcBorders>
              <w:bottom w:val="single" w:sz="12" w:space="0" w:color="000000"/>
              <w:right w:val="single" w:sz="12"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of high density, transit oriented, mixed-use urban village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 Lloyd Portfolio was acquired in 2011, consisting of approximately 600,000 rentable square feet on more than 16 acres located in the Lloyd District of Portland, Oregon. The portion of the property that has been designated for additional development is expected to include a high density, transit oriented, mixed-use urban village, with the potential to be in excess of approximately three million square feet. The zoning for such development opportunity allows a 12:1 Floor Area Ratio with a 250 foot height limit and provides for retail, office and/or multifamily development.  Additional development plans are in the early stages and will continue to progress as demand and economic conditions allow.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91845"/>
                <wp:effectExtent l="0" t="0" r="0" b="0"/>
                <wp:wrapNone/>
                <wp:docPr id="59" name="Frame32"/>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20</w:t>
                            </w:r>
                          </w:p>
                        </w:tc>
                      </w:tr>
                    </w:tbl>
                    <w:p>
                      <w:pPr>
                        <w:pStyle w:val="TextBody"/>
                        <w:bidi w:val="0"/>
                        <w:spacing w:before="0" w:after="0"/>
                        <w:jc w:val="left"/>
                        <w:rPr/>
                      </w:pPr>
                      <w:r>
                        <w:rPr/>
                      </w:r>
                    </w:p>
                  </w:txbxContent>
                </v:textbox>
                <w10:wrap type="none"/>
              </v:rect>
            </w:pict>
          </mc:Fallback>
        </mc:AlternateContent>
      </w:r>
    </w:p>
    <w:tbl>
      <w:tblPr>
        <w:tblW w:w="1538" w:type="dxa"/>
        <w:jc w:val="left"/>
        <w:tblInd w:w="0" w:type="dxa"/>
        <w:tblLayout w:type="fixed"/>
        <w:tblCellMar>
          <w:top w:w="28" w:type="dxa"/>
          <w:left w:w="28" w:type="dxa"/>
          <w:bottom w:w="28" w:type="dxa"/>
          <w:right w:w="28" w:type="dxa"/>
        </w:tblCellMar>
      </w:tblPr>
      <w:tblGrid>
        <w:gridCol w:w="124"/>
        <w:gridCol w:w="109"/>
        <w:gridCol w:w="109"/>
        <w:gridCol w:w="350"/>
        <w:gridCol w:w="350"/>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 descr=""/>
                          <pic:cNvPicPr>
                            <a:picLocks noChangeAspect="1" noChangeArrowheads="1"/>
                          </pic:cNvPicPr>
                        </pic:nvPicPr>
                        <pic:blipFill>
                          <a:blip r:embed="rId29"/>
                          <a:stretch>
                            <a:fillRect/>
                          </a:stretch>
                        </pic:blipFill>
                        <pic:spPr bwMode="auto">
                          <a:xfrm>
                            <a:off x="0" y="0"/>
                            <a:ext cx="676275" cy="352425"/>
                          </a:xfrm>
                          <a:prstGeom prst="rect">
                            <a:avLst/>
                          </a:prstGeom>
                        </pic:spPr>
                      </pic:pic>
                    </a:graphicData>
                  </a:graphic>
                </wp:inline>
              </w:drawing>
            </w:r>
          </w:p>
        </w:tc>
      </w:tr>
      <w:tr>
        <w:trPr/>
        <w:tc>
          <w:tcPr>
            <w:tcW w:w="342"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3366"/>
          <w:sz w:val="80"/>
        </w:rPr>
      </w:pPr>
      <w:r>
        <w:rPr>
          <w:rFonts w:ascii="Times New Roman;serif" w:hAnsi="Times New Roman;serif"/>
          <w:b/>
          <w:color w:val="003366"/>
          <w:sz w:val="80"/>
        </w:rPr>
        <w:t>PORTFOLIO DATA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91845"/>
                <wp:effectExtent l="0" t="0" r="0" b="0"/>
                <wp:wrapNone/>
                <wp:docPr id="61" name="Frame33"/>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21</w:t>
                            </w:r>
                          </w:p>
                        </w:tc>
                      </w:tr>
                    </w:tbl>
                    <w:p>
                      <w:pPr>
                        <w:pStyle w:val="TextBody"/>
                        <w:bidi w:val="0"/>
                        <w:spacing w:before="0" w:after="0"/>
                        <w:jc w:val="left"/>
                        <w:rPr/>
                      </w:pPr>
                      <w:r>
                        <w:rPr/>
                      </w:r>
                    </w:p>
                  </w:txbxContent>
                </v:textbox>
                <w10:wrap type="none"/>
              </v:rect>
            </w:pict>
          </mc:Fallback>
        </mc:AlternateContent>
      </w:r>
    </w:p>
    <w:tbl>
      <w:tblPr>
        <w:tblW w:w="4421" w:type="dxa"/>
        <w:jc w:val="left"/>
        <w:tblInd w:w="0" w:type="dxa"/>
        <w:tblLayout w:type="fixed"/>
        <w:tblCellMar>
          <w:top w:w="28" w:type="dxa"/>
          <w:left w:w="28" w:type="dxa"/>
          <w:bottom w:w="28" w:type="dxa"/>
          <w:right w:w="28" w:type="dxa"/>
        </w:tblCellMar>
      </w:tblPr>
      <w:tblGrid>
        <w:gridCol w:w="1169"/>
        <w:gridCol w:w="1027"/>
        <w:gridCol w:w="1029"/>
        <w:gridCol w:w="350"/>
        <w:gridCol w:w="350"/>
        <w:gridCol w:w="496"/>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REPORT</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0"/>
                          <a:stretch>
                            <a:fillRect/>
                          </a:stretch>
                        </pic:blipFill>
                        <pic:spPr bwMode="auto">
                          <a:xfrm>
                            <a:off x="0" y="0"/>
                            <a:ext cx="676275" cy="352425"/>
                          </a:xfrm>
                          <a:prstGeom prst="rect">
                            <a:avLst/>
                          </a:prstGeom>
                        </pic:spPr>
                      </pic:pic>
                    </a:graphicData>
                  </a:graphic>
                </wp:inline>
              </w:drawing>
            </w:r>
          </w:p>
        </w:tc>
      </w:tr>
      <w:tr>
        <w:trPr/>
        <w:tc>
          <w:tcPr>
            <w:tcW w:w="322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886" w:type="dxa"/>
        <w:jc w:val="left"/>
        <w:tblInd w:w="0" w:type="dxa"/>
        <w:tblLayout w:type="fixed"/>
        <w:tblCellMar>
          <w:top w:w="28" w:type="dxa"/>
          <w:left w:w="28" w:type="dxa"/>
          <w:bottom w:w="28" w:type="dxa"/>
          <w:right w:w="28" w:type="dxa"/>
        </w:tblCellMar>
      </w:tblPr>
      <w:tblGrid>
        <w:gridCol w:w="420"/>
        <w:gridCol w:w="276"/>
        <w:gridCol w:w="280"/>
        <w:gridCol w:w="109"/>
        <w:gridCol w:w="109"/>
        <w:gridCol w:w="109"/>
        <w:gridCol w:w="380"/>
        <w:gridCol w:w="215"/>
        <w:gridCol w:w="216"/>
        <w:gridCol w:w="109"/>
        <w:gridCol w:w="109"/>
        <w:gridCol w:w="109"/>
        <w:gridCol w:w="264"/>
        <w:gridCol w:w="264"/>
        <w:gridCol w:w="268"/>
        <w:gridCol w:w="109"/>
        <w:gridCol w:w="109"/>
        <w:gridCol w:w="109"/>
        <w:gridCol w:w="435"/>
        <w:gridCol w:w="436"/>
        <w:gridCol w:w="211"/>
        <w:gridCol w:w="109"/>
        <w:gridCol w:w="109"/>
        <w:gridCol w:w="109"/>
        <w:gridCol w:w="250"/>
        <w:gridCol w:w="250"/>
        <w:gridCol w:w="251"/>
        <w:gridCol w:w="109"/>
        <w:gridCol w:w="109"/>
        <w:gridCol w:w="109"/>
        <w:gridCol w:w="196"/>
        <w:gridCol w:w="1051"/>
        <w:gridCol w:w="109"/>
        <w:gridCol w:w="109"/>
        <w:gridCol w:w="109"/>
        <w:gridCol w:w="109"/>
        <w:gridCol w:w="196"/>
        <w:gridCol w:w="556"/>
        <w:gridCol w:w="109"/>
        <w:gridCol w:w="109"/>
        <w:gridCol w:w="109"/>
        <w:gridCol w:w="109"/>
        <w:gridCol w:w="309"/>
        <w:gridCol w:w="189"/>
        <w:gridCol w:w="193"/>
        <w:gridCol w:w="109"/>
        <w:gridCol w:w="109"/>
        <w:gridCol w:w="109"/>
        <w:gridCol w:w="446"/>
        <w:gridCol w:w="206"/>
        <w:gridCol w:w="294"/>
      </w:tblGrid>
      <w:tr>
        <w:trPr/>
        <w:tc>
          <w:tcPr>
            <w:tcW w:w="4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Office and Retail Portfolios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Annualized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Rentable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Base Rent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Year Built/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Most Recent 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Feet </w:t>
            </w:r>
            <w:r>
              <w:rPr>
                <w:rFonts w:ascii="Times New Roman;serif" w:hAnsi="Times New Roman;serif"/>
                <w:b/>
                <w:color w:val="003366"/>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Leased </w:t>
            </w:r>
            <w:r>
              <w:rPr>
                <w:rFonts w:ascii="Times New Roman;serif" w:hAnsi="Times New Roman;serif"/>
                <w:b/>
                <w:color w:val="003366"/>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Base Rent </w:t>
            </w:r>
            <w:r>
              <w:rPr>
                <w:rFonts w:ascii="Times New Roman;serif" w:hAnsi="Times New Roman;serif"/>
                <w:b/>
                <w:color w:val="003366"/>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Square Foot </w:t>
            </w:r>
            <w:r>
              <w:rPr>
                <w:rFonts w:ascii="Times New Roman;serif" w:hAnsi="Times New Roman;serif"/>
                <w:b/>
                <w:color w:val="003366"/>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Anchor Tenant(s) </w:t>
            </w:r>
            <w:r>
              <w:rPr>
                <w:rFonts w:ascii="Times New Roman;serif" w:hAnsi="Times New Roman;serif"/>
                <w:b/>
                <w:color w:val="003366"/>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Other Principal Retail Tenants </w:t>
            </w:r>
            <w:r>
              <w:rPr>
                <w:rFonts w:ascii="Times New Roman;serif" w:hAnsi="Times New Roman;serif"/>
                <w:b/>
                <w:color w:val="003366"/>
                <w:sz w:val="9"/>
              </w:rPr>
              <w:t>(6)</w:t>
            </w:r>
          </w:p>
        </w:tc>
      </w:tr>
      <w:tr>
        <w:trPr/>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Office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La Jolla Commons I &amp;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Jolla Commons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Coastal Collection at Torrey Reserve </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Torrey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Beach,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The Landmark at One Market </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Beach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&amp; 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Portland, 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Lloyd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Portland, 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568,270 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Center Bellevue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Bellevue,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14Acres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Bellevue, 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Timber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Bellevue,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Timber Springs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Bellevue, 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Subtotal/Weighted Average Office Portfolio </w:t>
            </w:r>
            <w:r>
              <w:rPr>
                <w:rFonts w:ascii="Times New Roman;serif" w:hAnsi="Times New Roman;serif"/>
                <w:b/>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4,273,675 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208,575,477 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Retail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Carmel Country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Sharp Healthcare, San Diego County Credit Union</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Carmel Mountain Plaza </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Home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Dick's Sporting Goods, Sprouts Farmers Market, Nordstrom Rack, Total Wine &amp; More, Marshalls, Angelika Film Center</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South Bay Marketplace </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Ross Dress for Less, Grocery Outlet, Old Navy</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Gateway Marketplace</w:t>
            </w:r>
            <w:r>
              <w:rPr>
                <w:color w:val="000000"/>
              </w:rPr>
              <w:t xml:space="preserve"> </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Hobby Lobby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Smart &amp; Final, Aldi</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Lomas Santa Fe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Beach,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Vons, Home Goods</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Beach Towne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Beach,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Dixieline Probuild, Marshalls, CVS Pharmacy</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Geary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Sprouts Farmers Market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Shops at Kalakaua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Honolulu, HI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 Beachware &amp; Fashion, Diesel U.S.A.</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Waikele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Waipahu,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418,395 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Lowe's, Safeway, Inspire Church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UFC Gym, Office Max, Old Navy</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Alamo Quarry Market </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Antonio,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Regal Cinemas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Foods Market, Nordstrom Rack, Home Goods, Gold's Gym</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Hassalo on Eighth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Portland, 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Providence Health &amp; Services, Sola Salon</w:t>
            </w:r>
          </w:p>
        </w:tc>
      </w:tr>
      <w:tr>
        <w:trPr/>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Subtotal/Weighted Average Retail Portfolio </w:t>
            </w:r>
            <w:r>
              <w:rPr>
                <w:rFonts w:ascii="Times New Roman;serif" w:hAnsi="Times New Roman;serif"/>
                <w:b/>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2,419,969 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71,368,655 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Total/Weighted Average Office and Retail Portfolio </w:t>
            </w:r>
            <w:r>
              <w:rPr>
                <w:rFonts w:ascii="Times New Roman;serif" w:hAnsi="Times New Roman;serif"/>
                <w:b/>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6,693,644 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279,944,132 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91845"/>
                <wp:effectExtent l="0" t="0" r="0" b="0"/>
                <wp:wrapNone/>
                <wp:docPr id="63" name="Frame34"/>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22</w:t>
                            </w:r>
                          </w:p>
                        </w:tc>
                      </w:tr>
                    </w:tbl>
                    <w:p>
                      <w:pPr>
                        <w:pStyle w:val="TextBody"/>
                        <w:bidi w:val="0"/>
                        <w:spacing w:before="0" w:after="0"/>
                        <w:jc w:val="left"/>
                        <w:rPr/>
                      </w:pPr>
                      <w:r>
                        <w:rPr/>
                      </w:r>
                    </w:p>
                  </w:txbxContent>
                </v:textbox>
                <w10:wrap type="none"/>
              </v:rect>
            </w:pict>
          </mc:Fallback>
        </mc:AlternateContent>
      </w:r>
    </w:p>
    <w:tbl>
      <w:tblPr>
        <w:tblW w:w="6611" w:type="dxa"/>
        <w:jc w:val="left"/>
        <w:tblInd w:w="0" w:type="dxa"/>
        <w:tblLayout w:type="fixed"/>
        <w:tblCellMar>
          <w:top w:w="28" w:type="dxa"/>
          <w:left w:w="28" w:type="dxa"/>
          <w:bottom w:w="28" w:type="dxa"/>
          <w:right w:w="28" w:type="dxa"/>
        </w:tblCellMar>
      </w:tblPr>
      <w:tblGrid>
        <w:gridCol w:w="1962"/>
        <w:gridCol w:w="1725"/>
        <w:gridCol w:w="1728"/>
        <w:gridCol w:w="350"/>
        <w:gridCol w:w="350"/>
        <w:gridCol w:w="496"/>
      </w:tblGrid>
      <w:tr>
        <w:trPr/>
        <w:tc>
          <w:tcPr>
            <w:tcW w:w="196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REPORT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31"/>
                          <a:stretch>
                            <a:fillRect/>
                          </a:stretch>
                        </pic:blipFill>
                        <pic:spPr bwMode="auto">
                          <a:xfrm>
                            <a:off x="0" y="0"/>
                            <a:ext cx="676275" cy="352425"/>
                          </a:xfrm>
                          <a:prstGeom prst="rect">
                            <a:avLst/>
                          </a:prstGeom>
                        </pic:spPr>
                      </pic:pic>
                    </a:graphicData>
                  </a:graphic>
                </wp:inline>
              </w:drawing>
            </w:r>
          </w:p>
        </w:tc>
      </w:tr>
      <w:tr>
        <w:trPr/>
        <w:tc>
          <w:tcPr>
            <w:tcW w:w="541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219" w:type="dxa"/>
        <w:jc w:val="left"/>
        <w:tblInd w:w="0" w:type="dxa"/>
        <w:tblLayout w:type="fixed"/>
        <w:tblCellMar>
          <w:top w:w="28" w:type="dxa"/>
          <w:left w:w="28" w:type="dxa"/>
          <w:bottom w:w="28" w:type="dxa"/>
          <w:right w:w="28" w:type="dxa"/>
        </w:tblCellMar>
      </w:tblPr>
      <w:tblGrid>
        <w:gridCol w:w="581"/>
        <w:gridCol w:w="233"/>
        <w:gridCol w:w="237"/>
        <w:gridCol w:w="109"/>
        <w:gridCol w:w="109"/>
        <w:gridCol w:w="109"/>
        <w:gridCol w:w="380"/>
        <w:gridCol w:w="215"/>
        <w:gridCol w:w="216"/>
        <w:gridCol w:w="109"/>
        <w:gridCol w:w="109"/>
        <w:gridCol w:w="109"/>
        <w:gridCol w:w="264"/>
        <w:gridCol w:w="264"/>
        <w:gridCol w:w="268"/>
        <w:gridCol w:w="109"/>
        <w:gridCol w:w="109"/>
        <w:gridCol w:w="109"/>
        <w:gridCol w:w="340"/>
        <w:gridCol w:w="306"/>
        <w:gridCol w:w="141"/>
        <w:gridCol w:w="109"/>
        <w:gridCol w:w="109"/>
        <w:gridCol w:w="109"/>
        <w:gridCol w:w="233"/>
        <w:gridCol w:w="233"/>
        <w:gridCol w:w="443"/>
        <w:gridCol w:w="109"/>
        <w:gridCol w:w="109"/>
        <w:gridCol w:w="109"/>
        <w:gridCol w:w="196"/>
        <w:gridCol w:w="871"/>
        <w:gridCol w:w="109"/>
        <w:gridCol w:w="109"/>
        <w:gridCol w:w="109"/>
        <w:gridCol w:w="109"/>
        <w:gridCol w:w="196"/>
        <w:gridCol w:w="961"/>
        <w:gridCol w:w="109"/>
        <w:gridCol w:w="109"/>
        <w:gridCol w:w="109"/>
        <w:gridCol w:w="109"/>
        <w:gridCol w:w="196"/>
        <w:gridCol w:w="556"/>
        <w:gridCol w:w="109"/>
        <w:gridCol w:w="109"/>
        <w:gridCol w:w="109"/>
        <w:gridCol w:w="109"/>
        <w:gridCol w:w="446"/>
        <w:gridCol w:w="206"/>
        <w:gridCol w:w="294"/>
      </w:tblGrid>
      <w:tr>
        <w:trPr/>
        <w:tc>
          <w:tcPr>
            <w:tcW w:w="5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Average Monthly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Year Built/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center"/>
              <w:rPr>
                <w:rFonts w:ascii="Times New Roman;serif" w:hAnsi="Times New Roman;serif"/>
                <w:b/>
                <w:color w:val="003366"/>
                <w:sz w:val="14"/>
              </w:rPr>
            </w:pPr>
            <w:r>
              <w:rPr>
                <w:rFonts w:ascii="Times New Roman;serif" w:hAnsi="Times New Roman;serif"/>
                <w:b/>
                <w:color w:val="003366"/>
                <w:sz w:val="14"/>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center"/>
              <w:rPr>
                <w:rFonts w:ascii="Times New Roman;serif" w:hAnsi="Times New Roman;serif"/>
                <w:b/>
                <w:color w:val="003366"/>
                <w:sz w:val="14"/>
              </w:rPr>
            </w:pPr>
            <w:r>
              <w:rPr>
                <w:rFonts w:ascii="Times New Roman;serif" w:hAnsi="Times New Roman;serif"/>
                <w:b/>
                <w:color w:val="003366"/>
                <w:sz w:val="14"/>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Base Rent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Most Recent 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Leased </w:t>
            </w:r>
            <w:r>
              <w:rPr>
                <w:rFonts w:ascii="Times New Roman;serif" w:hAnsi="Times New Roman;serif"/>
                <w:b/>
                <w:color w:val="003366"/>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Occupied </w:t>
            </w:r>
            <w:r>
              <w:rPr>
                <w:rFonts w:ascii="Times New Roman;serif" w:hAnsi="Times New Roman;serif"/>
                <w:b/>
                <w:color w:val="003366"/>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Base Rent </w:t>
            </w:r>
            <w:r>
              <w:rPr>
                <w:rFonts w:ascii="Times New Roman;serif" w:hAnsi="Times New Roman;serif"/>
                <w:b/>
                <w:color w:val="003366"/>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Occupied Unit </w:t>
            </w:r>
            <w:r>
              <w:rPr>
                <w:rFonts w:ascii="Times New Roman;serif" w:hAnsi="Times New Roman;serif"/>
                <w:b/>
                <w:color w:val="003366"/>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Loma Palisades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18,109,548 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Imperial Beach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Imperial Beach,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Mariner's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Imperial Beach,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 Ridge Apartments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Genesee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Hassalo on Eighth - Multifamily </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Portland, 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Multifamily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Santa Fe Park RV Resort </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Multifamily Portfolio (including Santa Fe Park RV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67,242,612 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Mixed-Use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Net Rentable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Annualized Base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Year Built/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center"/>
              <w:rPr>
                <w:rFonts w:ascii="Times New Roman;serif" w:hAnsi="Times New Roman;serif"/>
                <w:b/>
                <w:color w:val="003366"/>
                <w:sz w:val="14"/>
              </w:rPr>
            </w:pPr>
            <w:r>
              <w:rPr>
                <w:rFonts w:ascii="Times New Roman;serif" w:hAnsi="Times New Roman;serif"/>
                <w:b/>
                <w:color w:val="003366"/>
                <w:sz w:val="14"/>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Rent per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Retail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Most Recent 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Feet </w:t>
            </w:r>
            <w:r>
              <w:rPr>
                <w:rFonts w:ascii="Times New Roman;serif" w:hAnsi="Times New Roman;serif"/>
                <w:b/>
                <w:color w:val="003366"/>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center"/>
              <w:rPr/>
            </w:pPr>
            <w:r>
              <w:rPr>
                <w:rFonts w:ascii="Times New Roman;serif" w:hAnsi="Times New Roman;serif"/>
                <w:b/>
                <w:color w:val="003366"/>
                <w:sz w:val="14"/>
              </w:rPr>
              <w:t xml:space="preserve">Leased </w:t>
            </w:r>
            <w:r>
              <w:rPr>
                <w:rFonts w:ascii="Times New Roman;serif" w:hAnsi="Times New Roman;serif"/>
                <w:b/>
                <w:color w:val="003366"/>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Base Rent </w:t>
            </w:r>
            <w:r>
              <w:rPr>
                <w:rFonts w:ascii="Times New Roman;serif" w:hAnsi="Times New Roman;serif"/>
                <w:b/>
                <w:color w:val="003366"/>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Square Foot </w:t>
            </w:r>
            <w:r>
              <w:rPr>
                <w:rFonts w:ascii="Times New Roman;serif" w:hAnsi="Times New Roman;serif"/>
                <w:b/>
                <w:color w:val="003366"/>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Anchor Tenant(s) </w:t>
            </w:r>
            <w:r>
              <w:rPr>
                <w:rFonts w:ascii="Times New Roman;serif" w:hAnsi="Times New Roman;serif"/>
                <w:b/>
                <w:color w:val="003366"/>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Other Principal Retail Tenants </w:t>
            </w:r>
            <w:r>
              <w:rPr>
                <w:rFonts w:ascii="Times New Roman;serif" w:hAnsi="Times New Roman;serif"/>
                <w:b/>
                <w:color w:val="003366"/>
                <w:sz w:val="9"/>
              </w:rPr>
              <w:t>(6)</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Waikiki Beach Walk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Yardhouse, Roy's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Year Built/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Revenue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Hotel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Most Recent 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4"/>
              </w:rPr>
            </w:pPr>
            <w:r>
              <w:rPr>
                <w:rFonts w:ascii="Times New Roman;serif" w:hAnsi="Times New Roman;serif"/>
                <w:b/>
                <w:color w:val="003366"/>
                <w:sz w:val="14"/>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Occupancy </w:t>
            </w:r>
            <w:r>
              <w:rPr>
                <w:rFonts w:ascii="Times New Roman;serif" w:hAnsi="Times New Roman;serif"/>
                <w:b/>
                <w:color w:val="003366"/>
                <w:sz w:val="9"/>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14"/>
              </w:rPr>
              <w:t xml:space="preserve">Daily Rate </w:t>
            </w:r>
            <w:r>
              <w:rPr>
                <w:rFonts w:ascii="Times New Roman;serif" w:hAnsi="Times New Roman;serif"/>
                <w:b/>
                <w:color w:val="003366"/>
                <w:sz w:val="9"/>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3366"/>
              </w:rPr>
              <w:t> </w:t>
            </w:r>
            <w:r>
              <w:rPr>
                <w:rFonts w:ascii="Times New Roman;serif" w:hAnsi="Times New Roman;serif"/>
                <w:b/>
                <w:color w:val="003366"/>
                <w:sz w:val="14"/>
              </w:rPr>
              <w:t xml:space="preserve">Available Room </w:t>
            </w:r>
            <w:r>
              <w:rPr>
                <w:rFonts w:ascii="Times New Roman;serif" w:hAnsi="Times New Roman;serif"/>
                <w:b/>
                <w:color w:val="003366"/>
                <w:sz w:val="9"/>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Waikiki Beach Walk - Embassy Suites™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Notes:</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    The net rentable square feet for each of our retail properties and the retail portion of our mixed-use property is the sum of (1) the square footages of existing leases, plus (2) for available space, the field-verified square footage. The net rentable square feet for each of our office properties is the sum of (1) the square footages of existing leases, plus (2) for available space, management’s estimate of net rentable square feet based, in part, on past leases. The net rentable square feet included in such office leases is generally determined consistently with the Building Owners and Managers Association, 2017 measurement guidelines. Net rentable square footage may be adjusted from the prior periods to reflect re-measurement of leased space at the properties.</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    Percentage leased for each of our retail and office properties and the retail portion of the mixed-use property includes square footage under leases as of June 30, 2026, including leases which may not have commenced as of June 30, 2026. Percentage occupied for our multifamily properties includes total units rented and occupied as of June 30, 2026. Percentage leased for our multifamily properties includes units leased but not occupied as of June 30, 2026.</w:t>
      </w:r>
    </w:p>
    <w:p>
      <w:pPr>
        <w:pStyle w:val="TextBody"/>
        <w:bidi w:val="0"/>
        <w:spacing w:lineRule="auto" w:line="288" w:before="0" w:after="6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(3)     Annualized base rent is calculated by multiplying base rental payments (defined as cash base rents (before abatements)) under commenced leases for the month ended June 30, 2026 by 12. In the case of triple net or modified gross leases, annualized base rent does not include tenant reimbursements for real estate taxes, insurance, common area or other operating expenses. The foregoing notwithstanding: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5"/>
        </w:rPr>
        <w:t>The annualized base rent for La Jolla Commons I &amp; II has been adjusted for this presentation to reflect that the contractual triple net leases were instead structured as modified gross leases, by adding the contractual annualized triple net base rent of $38,103,357 to our estimate of annual triple net operating expenses of $10,855,763 for an estimated annualized base rent on a modified gross lease basis of $48,959,120 for La Jolla Commons I &amp; II.</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5"/>
        </w:rPr>
        <w:t>The annualized base rent for 14Acres has been adjusted for this presentation to reflect that the contractual triple net leases were instead structured as modified gross leases, by adding the contractual annualized triple net base rent of $4,232,130 to our estimate of annual triple net operating expenses of $1,794,345 for an estimated annualized base rent on a modified gross lease basis of $6,026,475 for 14Acres.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5"/>
        </w:rPr>
        <w:t>The annualized base rent for Timber Ridge has been adjusted for this presentation to reflect that the contractual triple net leases were instead structured as modified gross leases, by adding the contractual annualized triple net base rent of $5,360,421 to our estimate of annual triple net operating expenses of $2,195,683 for an estimated annualized base rent on a modified gross lease basis of $7,556,104 for Timber Ridge.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15"/>
        </w:rPr>
        <w:t>The annualized base rent for Timber Springs has been adjusted for this presentation to reflect that the contractual triple net leases were instead structured as modified gross leases, by adding the contractual annualized triple net base rent of $1,925,357 to our estimate of annual triple net operating expenses of $915,042 for an estimated annualized base rent on a modified gross lease basis of $2,840,399 for Timber Springs.</w:t>
      </w:r>
    </w:p>
    <w:p>
      <w:pPr>
        <w:pStyle w:val="TextBody"/>
        <w:bidi w:val="0"/>
        <w:spacing w:before="0" w:after="10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91845"/>
                <wp:effectExtent l="0" t="0" r="0" b="0"/>
                <wp:wrapNone/>
                <wp:docPr id="65" name="Frame35"/>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23</w:t>
                            </w:r>
                          </w:p>
                        </w:tc>
                      </w:tr>
                    </w:tbl>
                    <w:p>
                      <w:pPr>
                        <w:pStyle w:val="TextBody"/>
                        <w:bidi w:val="0"/>
                        <w:spacing w:before="0" w:after="0"/>
                        <w:jc w:val="left"/>
                        <w:rPr/>
                      </w:pPr>
                      <w:r>
                        <w:rPr/>
                      </w:r>
                    </w:p>
                  </w:txbxContent>
                </v:textbox>
                <w10:wrap type="none"/>
              </v:rect>
            </w:pict>
          </mc:Fallback>
        </mc:AlternateContent>
      </w:r>
    </w:p>
    <w:tbl>
      <w:tblPr>
        <w:tblW w:w="6611" w:type="dxa"/>
        <w:jc w:val="left"/>
        <w:tblInd w:w="0" w:type="dxa"/>
        <w:tblLayout w:type="fixed"/>
        <w:tblCellMar>
          <w:top w:w="28" w:type="dxa"/>
          <w:left w:w="28" w:type="dxa"/>
          <w:bottom w:w="28" w:type="dxa"/>
          <w:right w:w="28" w:type="dxa"/>
        </w:tblCellMar>
      </w:tblPr>
      <w:tblGrid>
        <w:gridCol w:w="1962"/>
        <w:gridCol w:w="1725"/>
        <w:gridCol w:w="1728"/>
        <w:gridCol w:w="350"/>
        <w:gridCol w:w="350"/>
        <w:gridCol w:w="496"/>
      </w:tblGrid>
      <w:tr>
        <w:trPr/>
        <w:tc>
          <w:tcPr>
            <w:tcW w:w="196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PROPERTY REPORT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32"/>
                          <a:stretch>
                            <a:fillRect/>
                          </a:stretch>
                        </pic:blipFill>
                        <pic:spPr bwMode="auto">
                          <a:xfrm>
                            <a:off x="0" y="0"/>
                            <a:ext cx="676275" cy="352425"/>
                          </a:xfrm>
                          <a:prstGeom prst="rect">
                            <a:avLst/>
                          </a:prstGeom>
                        </pic:spPr>
                      </pic:pic>
                    </a:graphicData>
                  </a:graphic>
                </wp:inline>
              </w:drawing>
            </w:r>
          </w:p>
        </w:tc>
      </w:tr>
      <w:tr>
        <w:trPr/>
        <w:tc>
          <w:tcPr>
            <w:tcW w:w="541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(4)    Annualized base rent per leased square foot for our retail and office properties and the retail portion of the mixed-use property is calculated by dividing annualized base rent from commenced leases as of June 30, 2026, by leased square footage, which includes executed leases that have not yet commenced rent. As a result, properties with signed but not yet commenced leases may have lower annualized base rent per leased square foot. See footnote 9 for lease data for signed but not commenced leases. Annualized base rent per occupied unit for our multifamily properties is calculated by dividing annualized base rent by units occupied as of June 30, 2026. The foregoing notwithstanding, the annualized base rent per leased square foot for La Jolla Commons, 14Acres, Timber Ridge and Timber Springs has been adjusted for this presentation to reflect that the contractual triple net leases were instead structured as modified gross leases. See footnote 3 for further explanation. </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(5)    Retail anchor tenants are defined as retail tenants leasing 50,000 square feet or more.</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(6)    Other principal retail tenants, excluding anchor tenants.</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(7)    Coastal Collection at Torrey Reserve was formerly known as Torrey Reserve Campus.</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(8)    This property contains 422,426 net rentable square feet consisting of The Landmark at One Market (378,206 net rentable square feet) as well as a separate long-term leasehold interest in approximately 44,220 net rentable square feet of space located in an adjacent six-story leasehold known as the Annex. We currently lease the Annex from an affiliate of the Paramount Group pursuant to a long-term master lease effective through June 30, 2031.</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(9)    Lease data for signed but not commenced leases as of June 30, 2026 is in the following table:</w:t>
      </w:r>
    </w:p>
    <w:p>
      <w:pPr>
        <w:pStyle w:val="TextBody"/>
        <w:bidi w:val="0"/>
        <w:spacing w:lineRule="auto" w:line="288" w:before="0" w:after="100"/>
        <w:ind w:left="0" w:right="0" w:hanging="360"/>
        <w:jc w:val="left"/>
        <w:rPr>
          <w:color w:val="000000"/>
        </w:rPr>
      </w:pPr>
      <w:r>
        <w:rPr>
          <w:color w:val="000000"/>
        </w:rPr>
        <w:t>    </w:t>
      </w:r>
    </w:p>
    <w:tbl>
      <w:tblPr>
        <w:tblW w:w="9401" w:type="dxa"/>
        <w:jc w:val="left"/>
        <w:tblInd w:w="0" w:type="dxa"/>
        <w:tblLayout w:type="fixed"/>
        <w:tblCellMar>
          <w:top w:w="28" w:type="dxa"/>
          <w:left w:w="28" w:type="dxa"/>
          <w:bottom w:w="28" w:type="dxa"/>
          <w:right w:w="28" w:type="dxa"/>
        </w:tblCellMar>
      </w:tblPr>
      <w:tblGrid>
        <w:gridCol w:w="754"/>
        <w:gridCol w:w="662"/>
        <w:gridCol w:w="668"/>
        <w:gridCol w:w="609"/>
        <w:gridCol w:w="609"/>
        <w:gridCol w:w="612"/>
        <w:gridCol w:w="109"/>
        <w:gridCol w:w="109"/>
        <w:gridCol w:w="109"/>
        <w:gridCol w:w="181"/>
        <w:gridCol w:w="841"/>
        <w:gridCol w:w="109"/>
        <w:gridCol w:w="109"/>
        <w:gridCol w:w="109"/>
        <w:gridCol w:w="109"/>
        <w:gridCol w:w="386"/>
        <w:gridCol w:w="1061"/>
        <w:gridCol w:w="233"/>
        <w:gridCol w:w="109"/>
        <w:gridCol w:w="109"/>
        <w:gridCol w:w="109"/>
        <w:gridCol w:w="368"/>
        <w:gridCol w:w="1011"/>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Leased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Annualized Base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 Forma Annualized</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Under Signed But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Rent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5"/>
              </w:rPr>
              <w:t>Base Rent per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Not Commenced Leases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Base Rent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5"/>
              </w:rPr>
              <w:t>Leased Square Foot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5"/>
              </w:rPr>
              <w:t>Leased Square Foot (c)</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Office Portfolio</w:t>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197,137 </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10,223,672 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51.86 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60.67 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Retail Portfolio</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9,024 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Retail and Office Portfolio</w:t>
            </w:r>
          </w:p>
        </w:tc>
        <w:tc>
          <w:tcPr>
            <w:tcW w:w="12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206,161 </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10,687,031 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(a)    Office portfolio leases signed but not commenced of 56,579, 46,473, 63,103, and 30,982 square feet are expected to commence during the third and fourth quarters of 2026, and first and third quarters of 2027, respectively. Retail portfolio leases signed but not commenced of 3,859 and 5,165 square feet are expected to commence during the third quarter of 2026 and first quarter of 2027, respectively.</w:t>
      </w:r>
    </w:p>
    <w:p>
      <w:pPr>
        <w:pStyle w:val="TextBody"/>
        <w:bidi w:val="0"/>
        <w:spacing w:lineRule="auto" w:line="288" w:before="0" w:after="6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(b)    Annualized base rent is calculated by multiplying base rental payments (defined as cash base rents (before abatements) for signed but not commenced leases as of June 30, 2026 by 12. In the case of triple net or modified gross leases, annualized base rent does not include tenant reimbursements for real estate taxes, insurance, common area or other operating expenses. Annualized base rent per leased square foot is calculated by dividing annualized base rent, by square footage for signed by not commenced leases.</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(c)     Pro forma annualized base rent is calculated by dividing annualized base rent for commenced leases and for signed but not commenced leases as of June 30, 2026, by square footage under lease as of June 30, 2026.</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(10)    Net rentable square feet at certain of our retail properties includes pad sites leased pursuant to the ground leases in the following table:</w:t>
      </w:r>
    </w:p>
    <w:tbl>
      <w:tblPr>
        <w:tblW w:w="10098" w:type="dxa"/>
        <w:jc w:val="left"/>
        <w:tblInd w:w="0" w:type="dxa"/>
        <w:tblLayout w:type="fixed"/>
        <w:tblCellMar>
          <w:top w:w="28" w:type="dxa"/>
          <w:left w:w="28" w:type="dxa"/>
          <w:bottom w:w="28" w:type="dxa"/>
          <w:right w:w="28" w:type="dxa"/>
        </w:tblCellMar>
      </w:tblPr>
      <w:tblGrid>
        <w:gridCol w:w="569"/>
        <w:gridCol w:w="499"/>
        <w:gridCol w:w="506"/>
        <w:gridCol w:w="109"/>
        <w:gridCol w:w="109"/>
        <w:gridCol w:w="109"/>
        <w:gridCol w:w="609"/>
        <w:gridCol w:w="609"/>
        <w:gridCol w:w="612"/>
        <w:gridCol w:w="109"/>
        <w:gridCol w:w="109"/>
        <w:gridCol w:w="109"/>
        <w:gridCol w:w="1148"/>
        <w:gridCol w:w="1148"/>
        <w:gridCol w:w="1153"/>
        <w:gridCol w:w="109"/>
        <w:gridCol w:w="109"/>
        <w:gridCol w:w="109"/>
        <w:gridCol w:w="372"/>
        <w:gridCol w:w="1576"/>
        <w:gridCol w:w="316"/>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Number of Ground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Square Footage Leased Pursuant to Ground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Aggregate Annualized Base Rent</w:t>
            </w:r>
          </w:p>
        </w:tc>
      </w:tr>
      <w:tr>
        <w:trPr/>
        <w:tc>
          <w:tcPr>
            <w:tcW w:w="1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Carmel Mountain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17,607 </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1,051,461 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South Bay Marketplace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2,824 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114,552 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Alamo Quarry Market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31,994 </w:t>
            </w:r>
          </w:p>
        </w:tc>
        <w:tc>
          <w:tcPr>
            <w:tcW w:w="1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723,455 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Gateway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18,903 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226,800 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(11)    The Santa Fe Park RV Resort is subject to seasonal variation, with higher rates of occupancy occurring during the summer months. During the 12 months ended June 30, 2026, the highest average monthly occupancy rate for this property was 84.7%, occurring in August 2025. The number of units at the Santa Fe Park RV Resort includes 120 RV spaces and four apartments. The Santa Fe Park RV resort is excluded from the multifamily presentation above to accurately reflect true multifamily performance. </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(12)    Hassalo on Eighth - Multifamily includes three residential buildings: Velomor, Aster Tower, and Elwood.</w:t>
      </w:r>
    </w:p>
    <w:p>
      <w:pPr>
        <w:pStyle w:val="TextBody"/>
        <w:bidi w:val="0"/>
        <w:spacing w:lineRule="auto" w:line="288" w:before="0" w:after="10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(13)    Average occupancy represents the percentage of available units that were sold during the three months ended June 30,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the three months ended June 30, 2026 by the number of units sold. Revenue per available room, or RevPAR, represents the total unit revenue per total available units for the three months ended June 30, 2026 and is calculated by multiplying average occupancy by the average daily rate. RevPAR does not include food and beverage revenues or other hotel operations revenues such as telephone, parking and other guest services. </w:t>
      </w:r>
    </w:p>
    <w:p>
      <w:pPr>
        <w:pStyle w:val="TextBody"/>
        <w:bidi w:val="0"/>
        <w:spacing w:before="0" w:after="10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91845"/>
                <wp:effectExtent l="0" t="0" r="0" b="0"/>
                <wp:wrapNone/>
                <wp:docPr id="67" name="Frame36"/>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24</w:t>
                            </w:r>
                          </w:p>
                        </w:tc>
                      </w:tr>
                    </w:tbl>
                    <w:p>
                      <w:pPr>
                        <w:pStyle w:val="TextBody"/>
                        <w:bidi w:val="0"/>
                        <w:spacing w:before="0" w:after="0"/>
                        <w:jc w:val="left"/>
                        <w:rPr/>
                      </w:pPr>
                      <w:r>
                        <w:rPr/>
                      </w:r>
                    </w:p>
                  </w:txbxContent>
                </v:textbox>
                <w10:wrap type="none"/>
              </v:rect>
            </w:pict>
          </mc:Fallback>
        </mc:AlternateContent>
      </w:r>
    </w:p>
    <w:tbl>
      <w:tblPr>
        <w:tblW w:w="5740" w:type="dxa"/>
        <w:jc w:val="left"/>
        <w:tblInd w:w="0" w:type="dxa"/>
        <w:tblLayout w:type="fixed"/>
        <w:tblCellMar>
          <w:top w:w="28" w:type="dxa"/>
          <w:left w:w="28" w:type="dxa"/>
          <w:bottom w:w="28" w:type="dxa"/>
          <w:right w:w="28" w:type="dxa"/>
        </w:tblCellMar>
      </w:tblPr>
      <w:tblGrid>
        <w:gridCol w:w="1645"/>
        <w:gridCol w:w="1448"/>
        <w:gridCol w:w="1451"/>
        <w:gridCol w:w="350"/>
        <w:gridCol w:w="350"/>
        <w:gridCol w:w="496"/>
      </w:tblGrid>
      <w:tr>
        <w:trPr/>
        <w:tc>
          <w:tcPr>
            <w:tcW w:w="16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OFFICE LEASING SUMMARY</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6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 descr=""/>
                          <pic:cNvPicPr>
                            <a:picLocks noChangeAspect="1" noChangeArrowheads="1"/>
                          </pic:cNvPicPr>
                        </pic:nvPicPr>
                        <pic:blipFill>
                          <a:blip r:embed="rId33"/>
                          <a:stretch>
                            <a:fillRect/>
                          </a:stretch>
                        </pic:blipFill>
                        <pic:spPr bwMode="auto">
                          <a:xfrm>
                            <a:off x="0" y="0"/>
                            <a:ext cx="676275" cy="352425"/>
                          </a:xfrm>
                          <a:prstGeom prst="rect">
                            <a:avLst/>
                          </a:prstGeom>
                        </pic:spPr>
                      </pic:pic>
                    </a:graphicData>
                  </a:graphic>
                </wp:inline>
              </w:drawing>
            </w:r>
          </w:p>
        </w:tc>
      </w:tr>
      <w:tr>
        <w:trPr/>
        <w:tc>
          <w:tcPr>
            <w:tcW w:w="45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3172" w:type="dxa"/>
        <w:jc w:val="left"/>
        <w:tblInd w:w="0" w:type="dxa"/>
        <w:tblLayout w:type="fixed"/>
        <w:tblCellMar>
          <w:top w:w="28" w:type="dxa"/>
          <w:left w:w="28" w:type="dxa"/>
          <w:bottom w:w="28" w:type="dxa"/>
          <w:right w:w="28" w:type="dxa"/>
        </w:tblCellMar>
      </w:tblPr>
      <w:tblGrid>
        <w:gridCol w:w="614"/>
        <w:gridCol w:w="449"/>
        <w:gridCol w:w="453"/>
        <w:gridCol w:w="109"/>
        <w:gridCol w:w="109"/>
        <w:gridCol w:w="109"/>
        <w:gridCol w:w="265"/>
        <w:gridCol w:w="265"/>
        <w:gridCol w:w="266"/>
        <w:gridCol w:w="109"/>
        <w:gridCol w:w="109"/>
        <w:gridCol w:w="109"/>
        <w:gridCol w:w="541"/>
        <w:gridCol w:w="285"/>
        <w:gridCol w:w="286"/>
        <w:gridCol w:w="109"/>
        <w:gridCol w:w="109"/>
        <w:gridCol w:w="109"/>
        <w:gridCol w:w="253"/>
        <w:gridCol w:w="741"/>
        <w:gridCol w:w="132"/>
        <w:gridCol w:w="109"/>
        <w:gridCol w:w="109"/>
        <w:gridCol w:w="109"/>
        <w:gridCol w:w="291"/>
        <w:gridCol w:w="220"/>
        <w:gridCol w:w="551"/>
        <w:gridCol w:w="109"/>
        <w:gridCol w:w="109"/>
        <w:gridCol w:w="109"/>
        <w:gridCol w:w="277"/>
        <w:gridCol w:w="277"/>
        <w:gridCol w:w="692"/>
        <w:gridCol w:w="109"/>
        <w:gridCol w:w="109"/>
        <w:gridCol w:w="109"/>
        <w:gridCol w:w="305"/>
        <w:gridCol w:w="305"/>
        <w:gridCol w:w="306"/>
        <w:gridCol w:w="109"/>
        <w:gridCol w:w="109"/>
        <w:gridCol w:w="109"/>
        <w:gridCol w:w="211"/>
        <w:gridCol w:w="1081"/>
        <w:gridCol w:w="109"/>
        <w:gridCol w:w="109"/>
        <w:gridCol w:w="109"/>
        <w:gridCol w:w="109"/>
        <w:gridCol w:w="268"/>
        <w:gridCol w:w="916"/>
        <w:gridCol w:w="197"/>
      </w:tblGrid>
      <w:tr>
        <w:trPr/>
        <w:tc>
          <w:tcPr>
            <w:tcW w:w="61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708" w:type="dxa"/>
            <w:gridSpan w:val="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Lease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Leases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Net Rentable Square Feet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Contractual Rent Per Sq. Ft.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Cash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Straight-Line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3366"/>
                <w:sz w:val="20"/>
              </w:rPr>
            </w:pPr>
            <w:r>
              <w:rPr>
                <w:rFonts w:ascii="Times New Roman;serif" w:hAnsi="Times New Roman;serif"/>
                <w:b/>
                <w:color w:val="003366"/>
                <w:sz w:val="20"/>
              </w:rPr>
              <w:t xml:space="preserve">Weighted Average Lease </w:t>
            </w:r>
          </w:p>
          <w:p>
            <w:pPr>
              <w:pStyle w:val="TableContents"/>
              <w:bidi w:val="0"/>
              <w:spacing w:lineRule="auto" w:line="240" w:before="0" w:after="0"/>
              <w:jc w:val="center"/>
              <w:rPr/>
            </w:pPr>
            <w:r>
              <w:rPr>
                <w:rFonts w:ascii="Times New Roman;serif" w:hAnsi="Times New Roman;serif"/>
                <w:b/>
                <w:color w:val="003366"/>
                <w:sz w:val="20"/>
              </w:rPr>
              <w:t xml:space="preserve">Term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 Per Sq. Ft.</w:t>
            </w:r>
          </w:p>
        </w:tc>
      </w:tr>
      <w:tr>
        <w:trPr/>
        <w:tc>
          <w:tcPr>
            <w:tcW w:w="15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Non-Comparable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Comparable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Renewal Comparable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Leases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Net Rentable Square Feet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Contractual Rent Per Sq. Ft.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Cash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Straight-Line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3366"/>
                <w:sz w:val="20"/>
              </w:rPr>
            </w:pPr>
            <w:r>
              <w:rPr>
                <w:rFonts w:ascii="Times New Roman;serif" w:hAnsi="Times New Roman;serif"/>
                <w:b/>
                <w:color w:val="003366"/>
                <w:sz w:val="20"/>
              </w:rPr>
              <w:t xml:space="preserve">Weighted Average Lease </w:t>
            </w:r>
          </w:p>
          <w:p>
            <w:pPr>
              <w:pStyle w:val="TableContents"/>
              <w:bidi w:val="0"/>
              <w:spacing w:lineRule="auto" w:line="240" w:before="0" w:after="0"/>
              <w:jc w:val="center"/>
              <w:rPr/>
            </w:pPr>
            <w:r>
              <w:rPr>
                <w:rFonts w:ascii="Times New Roman;serif" w:hAnsi="Times New Roman;serif"/>
                <w:b/>
                <w:color w:val="003366"/>
                <w:sz w:val="20"/>
              </w:rPr>
              <w:t xml:space="preserve">Term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 Per Sq. Ft.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Non-Comparable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Comparable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Renewal Comparable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679" w:type="dxa"/>
            <w:gridSpan w:val="18"/>
            <w:tcBorders/>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4" w:type="dxa"/>
            <w:gridSpan w:val="27"/>
            <w:tcBorders/>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4" w:type="dxa"/>
            <w:gridSpan w:val="27"/>
            <w:tcBorders/>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4" w:type="dxa"/>
            <w:gridSpan w:val="27"/>
            <w:tcBorders/>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Comparable leases represent those leases signed on spaces for which there was a previous lease in the past six months.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Contractual rent represents contractual minimum rent under the new lease for the first twelve months of the term.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Weighted average is calculated on the basis of square footage.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Includes renewals at fixed contractual rates specified in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91845"/>
                <wp:effectExtent l="0" t="0" r="0" b="0"/>
                <wp:wrapNone/>
                <wp:docPr id="69" name="Frame37"/>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25</w:t>
                            </w:r>
                          </w:p>
                        </w:tc>
                      </w:tr>
                    </w:tbl>
                    <w:p>
                      <w:pPr>
                        <w:pStyle w:val="TextBody"/>
                        <w:bidi w:val="0"/>
                        <w:spacing w:before="0" w:after="0"/>
                        <w:jc w:val="left"/>
                        <w:rPr/>
                      </w:pPr>
                      <w:r>
                        <w:rPr/>
                      </w:r>
                    </w:p>
                  </w:txbxContent>
                </v:textbox>
                <w10:wrap type="none"/>
              </v:rect>
            </w:pict>
          </mc:Fallback>
        </mc:AlternateContent>
      </w:r>
    </w:p>
    <w:tbl>
      <w:tblPr>
        <w:tblW w:w="5756" w:type="dxa"/>
        <w:jc w:val="left"/>
        <w:tblInd w:w="0" w:type="dxa"/>
        <w:tblLayout w:type="fixed"/>
        <w:tblCellMar>
          <w:top w:w="28" w:type="dxa"/>
          <w:left w:w="28" w:type="dxa"/>
          <w:bottom w:w="28" w:type="dxa"/>
          <w:right w:w="28" w:type="dxa"/>
        </w:tblCellMar>
      </w:tblPr>
      <w:tblGrid>
        <w:gridCol w:w="1651"/>
        <w:gridCol w:w="1453"/>
        <w:gridCol w:w="1456"/>
        <w:gridCol w:w="350"/>
        <w:gridCol w:w="350"/>
        <w:gridCol w:w="496"/>
      </w:tblGrid>
      <w:tr>
        <w:trPr/>
        <w:tc>
          <w:tcPr>
            <w:tcW w:w="165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RETAIL LEASING SUMMARY</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7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3" descr=""/>
                          <pic:cNvPicPr>
                            <a:picLocks noChangeAspect="1" noChangeArrowheads="1"/>
                          </pic:cNvPicPr>
                        </pic:nvPicPr>
                        <pic:blipFill>
                          <a:blip r:embed="rId34"/>
                          <a:stretch>
                            <a:fillRect/>
                          </a:stretch>
                        </pic:blipFill>
                        <pic:spPr bwMode="auto">
                          <a:xfrm>
                            <a:off x="0" y="0"/>
                            <a:ext cx="676275" cy="352425"/>
                          </a:xfrm>
                          <a:prstGeom prst="rect">
                            <a:avLst/>
                          </a:prstGeom>
                        </pic:spPr>
                      </pic:pic>
                    </a:graphicData>
                  </a:graphic>
                </wp:inline>
              </w:drawing>
            </w:r>
          </w:p>
        </w:tc>
      </w:tr>
      <w:tr>
        <w:trPr/>
        <w:tc>
          <w:tcPr>
            <w:tcW w:w="456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3122" w:type="dxa"/>
        <w:jc w:val="left"/>
        <w:tblInd w:w="0" w:type="dxa"/>
        <w:tblLayout w:type="fixed"/>
        <w:tblCellMar>
          <w:top w:w="28" w:type="dxa"/>
          <w:left w:w="28" w:type="dxa"/>
          <w:bottom w:w="28" w:type="dxa"/>
          <w:right w:w="28" w:type="dxa"/>
        </w:tblCellMar>
      </w:tblPr>
      <w:tblGrid>
        <w:gridCol w:w="614"/>
        <w:gridCol w:w="449"/>
        <w:gridCol w:w="453"/>
        <w:gridCol w:w="109"/>
        <w:gridCol w:w="109"/>
        <w:gridCol w:w="109"/>
        <w:gridCol w:w="265"/>
        <w:gridCol w:w="265"/>
        <w:gridCol w:w="266"/>
        <w:gridCol w:w="109"/>
        <w:gridCol w:w="109"/>
        <w:gridCol w:w="109"/>
        <w:gridCol w:w="541"/>
        <w:gridCol w:w="285"/>
        <w:gridCol w:w="286"/>
        <w:gridCol w:w="109"/>
        <w:gridCol w:w="109"/>
        <w:gridCol w:w="109"/>
        <w:gridCol w:w="253"/>
        <w:gridCol w:w="741"/>
        <w:gridCol w:w="132"/>
        <w:gridCol w:w="109"/>
        <w:gridCol w:w="109"/>
        <w:gridCol w:w="109"/>
        <w:gridCol w:w="306"/>
        <w:gridCol w:w="220"/>
        <w:gridCol w:w="551"/>
        <w:gridCol w:w="109"/>
        <w:gridCol w:w="109"/>
        <w:gridCol w:w="109"/>
        <w:gridCol w:w="277"/>
        <w:gridCol w:w="277"/>
        <w:gridCol w:w="692"/>
        <w:gridCol w:w="109"/>
        <w:gridCol w:w="109"/>
        <w:gridCol w:w="109"/>
        <w:gridCol w:w="305"/>
        <w:gridCol w:w="305"/>
        <w:gridCol w:w="306"/>
        <w:gridCol w:w="109"/>
        <w:gridCol w:w="109"/>
        <w:gridCol w:w="109"/>
        <w:gridCol w:w="245"/>
        <w:gridCol w:w="962"/>
        <w:gridCol w:w="129"/>
        <w:gridCol w:w="109"/>
        <w:gridCol w:w="109"/>
        <w:gridCol w:w="109"/>
        <w:gridCol w:w="297"/>
        <w:gridCol w:w="867"/>
        <w:gridCol w:w="217"/>
      </w:tblGrid>
      <w:tr>
        <w:trPr/>
        <w:tc>
          <w:tcPr>
            <w:tcW w:w="61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708" w:type="dxa"/>
            <w:gridSpan w:val="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Three Months Ended June 30, 2026</w:t>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Leases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Net Rentable Square Feet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Contractual Rent Per Sq. Ft. </w:t>
            </w:r>
            <w:r>
              <w:rPr>
                <w:rFonts w:ascii="Times New Roman;serif" w:hAnsi="Times New Roman;serif"/>
                <w:b/>
                <w:color w:val="003366"/>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Cash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Straight-Line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3366"/>
                <w:sz w:val="20"/>
              </w:rPr>
            </w:pPr>
            <w:r>
              <w:rPr>
                <w:rFonts w:ascii="Times New Roman;serif" w:hAnsi="Times New Roman;serif"/>
                <w:b/>
                <w:color w:val="003366"/>
                <w:sz w:val="20"/>
              </w:rPr>
              <w:t xml:space="preserve">Weighted Average Lease </w:t>
            </w:r>
          </w:p>
          <w:p>
            <w:pPr>
              <w:pStyle w:val="TableContents"/>
              <w:bidi w:val="0"/>
              <w:spacing w:lineRule="auto" w:line="240" w:before="0" w:after="0"/>
              <w:jc w:val="center"/>
              <w:rPr/>
            </w:pPr>
            <w:r>
              <w:rPr>
                <w:rFonts w:ascii="Times New Roman;serif" w:hAnsi="Times New Roman;serif"/>
                <w:b/>
                <w:color w:val="003366"/>
                <w:sz w:val="20"/>
              </w:rPr>
              <w:t xml:space="preserve">Term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 Per Sq. Ft.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 xml:space="preserve">Lease Type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Non-Comparable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Comparable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Renewal Comparable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Six Months Ended June 30, 2026</w:t>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Leases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Net Rentable Square Feet Signed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Contractual Rent Per Sq. Ft. </w:t>
            </w:r>
            <w:r>
              <w:rPr>
                <w:rFonts w:ascii="Times New Roman;serif" w:hAnsi="Times New Roman;serif"/>
                <w:b/>
                <w:color w:val="003366"/>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Cash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Straight-Line Basis % Change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3366"/>
                <w:sz w:val="20"/>
              </w:rPr>
            </w:pPr>
            <w:r>
              <w:rPr>
                <w:rFonts w:ascii="Times New Roman;serif" w:hAnsi="Times New Roman;serif"/>
                <w:b/>
                <w:color w:val="003366"/>
                <w:sz w:val="20"/>
              </w:rPr>
              <w:t xml:space="preserve">Weighted Average Lease </w:t>
            </w:r>
          </w:p>
          <w:p>
            <w:pPr>
              <w:pStyle w:val="TableContents"/>
              <w:bidi w:val="0"/>
              <w:spacing w:lineRule="auto" w:line="240" w:before="0" w:after="0"/>
              <w:jc w:val="center"/>
              <w:rPr/>
            </w:pPr>
            <w:r>
              <w:rPr>
                <w:rFonts w:ascii="Times New Roman;serif" w:hAnsi="Times New Roman;serif"/>
                <w:b/>
                <w:color w:val="003366"/>
                <w:sz w:val="20"/>
              </w:rPr>
              <w:t xml:space="preserve">Term </w:t>
            </w:r>
            <w:r>
              <w:rPr>
                <w:rFonts w:ascii="Times New Roman;serif" w:hAnsi="Times New Roman;serif"/>
                <w:b/>
                <w:color w:val="003366"/>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Tenant Improvements &amp; Incentives Per Sq. Ft.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Non-Comparable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Comparable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Comparable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Renewal Comparable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Comparable leases represent those leases signed on spaces for which there was a previous lease in the past six months, including leases signed for the retail portion of our mixed-use property.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Contractual rent represents contractual minimum rent under the new lease for the first twelve months of the term.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Weighted average is calculated on the basis of square footage.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Includes renewals at fixed contractual rates specified in the lease.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91845"/>
                <wp:effectExtent l="0" t="0" r="0" b="0"/>
                <wp:wrapNone/>
                <wp:docPr id="71" name="Frame38"/>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26</w:t>
                            </w:r>
                          </w:p>
                        </w:tc>
                      </w:tr>
                    </w:tbl>
                    <w:p>
                      <w:pPr>
                        <w:pStyle w:val="TextBody"/>
                        <w:bidi w:val="0"/>
                        <w:spacing w:before="0" w:after="0"/>
                        <w:jc w:val="left"/>
                        <w:rPr/>
                      </w:pPr>
                      <w:r>
                        <w:rPr/>
                      </w:r>
                    </w:p>
                  </w:txbxContent>
                </v:textbox>
                <w10:wrap type="none"/>
              </v:rect>
            </w:pict>
          </mc:Fallback>
        </mc:AlternateContent>
      </w:r>
    </w:p>
    <w:tbl>
      <w:tblPr>
        <w:tblW w:w="6896" w:type="dxa"/>
        <w:jc w:val="center"/>
        <w:tblInd w:w="0" w:type="dxa"/>
        <w:tblLayout w:type="fixed"/>
        <w:tblCellMar>
          <w:top w:w="28" w:type="dxa"/>
          <w:left w:w="28" w:type="dxa"/>
          <w:bottom w:w="28" w:type="dxa"/>
          <w:right w:w="28" w:type="dxa"/>
        </w:tblCellMar>
      </w:tblPr>
      <w:tblGrid>
        <w:gridCol w:w="2066"/>
        <w:gridCol w:w="1816"/>
        <w:gridCol w:w="1818"/>
        <w:gridCol w:w="350"/>
        <w:gridCol w:w="350"/>
        <w:gridCol w:w="496"/>
      </w:tblGrid>
      <w:tr>
        <w:trPr/>
        <w:tc>
          <w:tcPr>
            <w:tcW w:w="206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MULTIFAMILY LEASING SUMMARY</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35"/>
                          <a:stretch>
                            <a:fillRect/>
                          </a:stretch>
                        </pic:blipFill>
                        <pic:spPr bwMode="auto">
                          <a:xfrm>
                            <a:off x="0" y="0"/>
                            <a:ext cx="676275" cy="352425"/>
                          </a:xfrm>
                          <a:prstGeom prst="rect">
                            <a:avLst/>
                          </a:prstGeom>
                        </pic:spPr>
                      </pic:pic>
                    </a:graphicData>
                  </a:graphic>
                </wp:inline>
              </w:drawing>
            </w:r>
          </w:p>
        </w:tc>
      </w:tr>
      <w:tr>
        <w:trPr/>
        <w:tc>
          <w:tcPr>
            <w:tcW w:w="570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5"/>
        <w:gridCol w:w="372"/>
        <w:gridCol w:w="374"/>
        <w:gridCol w:w="173"/>
        <w:gridCol w:w="173"/>
        <w:gridCol w:w="173"/>
        <w:gridCol w:w="568"/>
        <w:gridCol w:w="568"/>
        <w:gridCol w:w="570"/>
        <w:gridCol w:w="121"/>
        <w:gridCol w:w="121"/>
        <w:gridCol w:w="121"/>
        <w:gridCol w:w="514"/>
        <w:gridCol w:w="514"/>
        <w:gridCol w:w="516"/>
        <w:gridCol w:w="109"/>
        <w:gridCol w:w="109"/>
        <w:gridCol w:w="109"/>
        <w:gridCol w:w="572"/>
        <w:gridCol w:w="534"/>
        <w:gridCol w:w="535"/>
        <w:gridCol w:w="109"/>
        <w:gridCol w:w="109"/>
        <w:gridCol w:w="109"/>
        <w:gridCol w:w="761"/>
        <w:gridCol w:w="761"/>
        <w:gridCol w:w="1085"/>
      </w:tblGrid>
      <w:tr>
        <w:trPr/>
        <w:tc>
          <w:tcPr>
            <w:tcW w:w="42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3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Loma Palisades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$18,109,548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$2,890</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$18,438,396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$2,933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$18,131,064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$17,579,544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$2,931</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Imperial Beach Gardens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$4,759,620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$4,981,524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$2,714</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$4,754,016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$2,712</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$4,698,804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$2,737</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Mariner's Point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$2,308,740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$2,374</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$1,982</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Santa Fe Park RV Resort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$2,319,192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$2,101</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$1,790</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$1,064,856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$1,583</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$1,586,304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ind w:left="0" w:right="0" w:hanging="27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91845"/>
                <wp:effectExtent l="0" t="0" r="0" b="0"/>
                <wp:wrapNone/>
                <wp:docPr id="73" name="Frame39"/>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27</w:t>
                            </w:r>
                          </w:p>
                        </w:tc>
                      </w:tr>
                    </w:tbl>
                    <w:p>
                      <w:pPr>
                        <w:pStyle w:val="TextBody"/>
                        <w:bidi w:val="0"/>
                        <w:spacing w:before="0" w:after="0"/>
                        <w:jc w:val="left"/>
                        <w:rPr/>
                      </w:pPr>
                      <w:r>
                        <w:rPr/>
                      </w:r>
                    </w:p>
                  </w:txbxContent>
                </v:textbox>
                <w10:wrap type="none"/>
              </v:rect>
            </w:pict>
          </mc:Fallback>
        </mc:AlternateContent>
      </w:r>
    </w:p>
    <w:tbl>
      <w:tblPr>
        <w:tblW w:w="9086" w:type="dxa"/>
        <w:jc w:val="left"/>
        <w:tblInd w:w="0" w:type="dxa"/>
        <w:tblLayout w:type="fixed"/>
        <w:tblCellMar>
          <w:top w:w="28" w:type="dxa"/>
          <w:left w:w="28" w:type="dxa"/>
          <w:bottom w:w="28" w:type="dxa"/>
          <w:right w:w="28" w:type="dxa"/>
        </w:tblCellMar>
      </w:tblPr>
      <w:tblGrid>
        <w:gridCol w:w="2860"/>
        <w:gridCol w:w="2513"/>
        <w:gridCol w:w="2517"/>
        <w:gridCol w:w="350"/>
        <w:gridCol w:w="350"/>
        <w:gridCol w:w="496"/>
      </w:tblGrid>
      <w:tr>
        <w:trPr/>
        <w:tc>
          <w:tcPr>
            <w:tcW w:w="2860"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MULTIFAMILY LEASING SUMMARY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7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5" descr=""/>
                          <pic:cNvPicPr>
                            <a:picLocks noChangeAspect="1" noChangeArrowheads="1"/>
                          </pic:cNvPicPr>
                        </pic:nvPicPr>
                        <pic:blipFill>
                          <a:blip r:embed="rId36"/>
                          <a:stretch>
                            <a:fillRect/>
                          </a:stretch>
                        </pic:blipFill>
                        <pic:spPr bwMode="auto">
                          <a:xfrm>
                            <a:off x="0" y="0"/>
                            <a:ext cx="676275" cy="352425"/>
                          </a:xfrm>
                          <a:prstGeom prst="rect">
                            <a:avLst/>
                          </a:prstGeom>
                        </pic:spPr>
                      </pic:pic>
                    </a:graphicData>
                  </a:graphic>
                </wp:inline>
              </w:drawing>
            </w:r>
          </w:p>
        </w:tc>
      </w:tr>
      <w:tr>
        <w:trPr/>
        <w:tc>
          <w:tcPr>
            <w:tcW w:w="789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19"/>
        <w:gridCol w:w="201"/>
        <w:gridCol w:w="201"/>
        <w:gridCol w:w="201"/>
        <w:gridCol w:w="560"/>
        <w:gridCol w:w="560"/>
        <w:gridCol w:w="556"/>
        <w:gridCol w:w="138"/>
        <w:gridCol w:w="138"/>
        <w:gridCol w:w="138"/>
        <w:gridCol w:w="508"/>
        <w:gridCol w:w="508"/>
        <w:gridCol w:w="510"/>
        <w:gridCol w:w="109"/>
        <w:gridCol w:w="109"/>
        <w:gridCol w:w="109"/>
        <w:gridCol w:w="567"/>
        <w:gridCol w:w="527"/>
        <w:gridCol w:w="529"/>
        <w:gridCol w:w="109"/>
        <w:gridCol w:w="109"/>
        <w:gridCol w:w="109"/>
        <w:gridCol w:w="744"/>
        <w:gridCol w:w="744"/>
        <w:gridCol w:w="1063"/>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Pacific Ridge Apartments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$22,593,552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$4,570</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$26,008,200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$4,249</w:t>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$24,977,172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$3,981</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$24,734,688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$4,199</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Genesee Park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$2,385</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$5,018,676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$2,214</w:t>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$4,878,144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$2,185</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$4,899,912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$2,183</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3366"/>
                <w:sz w:val="20"/>
              </w:rPr>
              <w:t xml:space="preserve">Lease Summary - Hassalo on Eighth - Multifamily </w:t>
            </w:r>
            <w:r>
              <w:rPr>
                <w:rFonts w:ascii="Times New Roman;serif" w:hAnsi="Times New Roman;serif"/>
                <w:b/>
                <w:color w:val="003366"/>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$11,800,812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$1,717</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$12,109,044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$1,668</w:t>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$11,814,288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$1,684</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$11,823,060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$1,670</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 xml:space="preserve">Total Multifamily Lease Summary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Number of Occupied Units </w:t>
            </w:r>
            <w:r>
              <w:rPr>
                <w:rFonts w:ascii="Times New Roman;serif" w:hAnsi="Times New Roman;serif"/>
                <w:b/>
                <w:color w:val="003366"/>
                <w:sz w:val="13"/>
              </w:rPr>
              <w:t>(1)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occupied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Monthly Base Rent per Occupied Unit </w:t>
            </w:r>
            <w:r>
              <w:rPr>
                <w:rFonts w:ascii="Times New Roman;serif" w:hAnsi="Times New Roman;serif"/>
                <w:b/>
                <w:color w:val="003366"/>
                <w:sz w:val="13"/>
              </w:rPr>
              <w:t>(3)</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$67,242,612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$2,776</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$70,120,140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$2,756</w:t>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$67,547,640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$2,684</w:t>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$67,642,812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Notes:</w:t>
      </w:r>
    </w:p>
    <w:p>
      <w:pPr>
        <w:pStyle w:val="TextBody"/>
        <w:bidi w:val="0"/>
        <w:spacing w:lineRule="auto" w:line="288" w:before="0" w:after="0"/>
        <w:ind w:left="0" w:right="0" w:hanging="360"/>
        <w:jc w:val="left"/>
        <w:rPr/>
      </w:pPr>
      <w:r>
        <w:rPr>
          <w:rFonts w:ascii="Times New Roman;serif" w:hAnsi="Times New Roman;serif"/>
          <w:b w:val="false"/>
          <w:color w:val="000000"/>
          <w:sz w:val="14"/>
        </w:rPr>
        <w:t>(1)    </w:t>
      </w:r>
      <w:r>
        <w:rPr>
          <w:rFonts w:ascii="Times New Roman;serif" w:hAnsi="Times New Roman;serif"/>
          <w:b w:val="false"/>
          <w:color w:val="000000"/>
          <w:sz w:val="15"/>
        </w:rPr>
        <w:t>Number of occupied units and percentage occupancy for our multifamily properties includes total units rented and occupied as of each respective quarter end date.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(2)    Annualized base rent is calculated by multiplying base rental payments (defined as cash base rents (before abatements)) as of each respective quarter end date.</w:t>
      </w:r>
    </w:p>
    <w:p>
      <w:pPr>
        <w:pStyle w:val="TextBody"/>
        <w:bidi w:val="0"/>
        <w:spacing w:lineRule="auto" w:line="288" w:before="0" w:after="0"/>
        <w:ind w:left="0" w:right="0" w:hanging="360"/>
        <w:jc w:val="left"/>
        <w:rPr>
          <w:rFonts w:ascii="Times New Roman;serif" w:hAnsi="Times New Roman;serif"/>
          <w:b w:val="false"/>
          <w:color w:val="000000"/>
          <w:sz w:val="15"/>
        </w:rPr>
      </w:pPr>
      <w:r>
        <w:rPr>
          <w:rFonts w:ascii="Times New Roman;serif" w:hAnsi="Times New Roman;serif"/>
          <w:b w:val="false"/>
          <w:color w:val="000000"/>
          <w:sz w:val="15"/>
        </w:rPr>
        <w:t xml:space="preserve">(3)    Annualized base rent per occupied unit is calculated by dividing annualized base rent, by units occupied as of each respective quarter end date. </w:t>
      </w:r>
    </w:p>
    <w:p>
      <w:pPr>
        <w:pStyle w:val="TextBody"/>
        <w:bidi w:val="0"/>
        <w:spacing w:lineRule="auto" w:line="288" w:before="0" w:after="0"/>
        <w:ind w:left="0" w:right="0" w:hanging="360"/>
        <w:jc w:val="left"/>
        <w:rPr/>
      </w:pPr>
      <w:r>
        <w:rPr>
          <w:rFonts w:ascii="Times New Roman;serif" w:hAnsi="Times New Roman;serif"/>
          <w:b w:val="false"/>
          <w:color w:val="000000"/>
          <w:sz w:val="14"/>
        </w:rPr>
        <w:t>(4)    </w:t>
      </w:r>
      <w:r>
        <w:rPr>
          <w:rFonts w:ascii="Times New Roman;serif" w:hAnsi="Times New Roman;serif"/>
          <w:b w:val="false"/>
          <w:color w:val="000000"/>
          <w:sz w:val="15"/>
        </w:rPr>
        <w:t>Hassalo on Eighth - Multifamily includes three residential buildings: Velomor, Aster Tower, and Elwood.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91845"/>
                <wp:effectExtent l="0" t="0" r="0" b="0"/>
                <wp:wrapNone/>
                <wp:docPr id="75" name="Frame40"/>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28</w:t>
                            </w:r>
                          </w:p>
                        </w:tc>
                      </w:tr>
                    </w:tbl>
                    <w:p>
                      <w:pPr>
                        <w:pStyle w:val="TextBody"/>
                        <w:bidi w:val="0"/>
                        <w:spacing w:before="0" w:after="0"/>
                        <w:jc w:val="left"/>
                        <w:rPr/>
                      </w:pPr>
                      <w:r>
                        <w:rPr/>
                      </w:r>
                    </w:p>
                  </w:txbxContent>
                </v:textbox>
                <w10:wrap type="none"/>
              </v:rect>
            </w:pict>
          </mc:Fallback>
        </mc:AlternateContent>
      </w:r>
    </w:p>
    <w:tbl>
      <w:tblPr>
        <w:tblW w:w="6355" w:type="dxa"/>
        <w:jc w:val="center"/>
        <w:tblInd w:w="0" w:type="dxa"/>
        <w:tblLayout w:type="fixed"/>
        <w:tblCellMar>
          <w:top w:w="28" w:type="dxa"/>
          <w:left w:w="28" w:type="dxa"/>
          <w:bottom w:w="28" w:type="dxa"/>
          <w:right w:w="28" w:type="dxa"/>
        </w:tblCellMar>
      </w:tblPr>
      <w:tblGrid>
        <w:gridCol w:w="1869"/>
        <w:gridCol w:w="1644"/>
        <w:gridCol w:w="1646"/>
        <w:gridCol w:w="350"/>
        <w:gridCol w:w="350"/>
        <w:gridCol w:w="496"/>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MIXED-USE LEASING SUMMARY</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37"/>
                          <a:stretch>
                            <a:fillRect/>
                          </a:stretch>
                        </pic:blipFill>
                        <pic:spPr bwMode="auto">
                          <a:xfrm>
                            <a:off x="0" y="0"/>
                            <a:ext cx="676275" cy="352425"/>
                          </a:xfrm>
                          <a:prstGeom prst="rect">
                            <a:avLst/>
                          </a:prstGeom>
                        </pic:spPr>
                      </pic:pic>
                    </a:graphicData>
                  </a:graphic>
                </wp:inline>
              </w:drawing>
            </w:r>
          </w:p>
        </w:tc>
      </w:tr>
      <w:tr>
        <w:trPr/>
        <w:tc>
          <w:tcPr>
            <w:tcW w:w="5159"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4"/>
        <w:gridCol w:w="372"/>
        <w:gridCol w:w="373"/>
        <w:gridCol w:w="166"/>
        <w:gridCol w:w="166"/>
        <w:gridCol w:w="166"/>
        <w:gridCol w:w="576"/>
        <w:gridCol w:w="576"/>
        <w:gridCol w:w="578"/>
        <w:gridCol w:w="118"/>
        <w:gridCol w:w="118"/>
        <w:gridCol w:w="118"/>
        <w:gridCol w:w="509"/>
        <w:gridCol w:w="509"/>
        <w:gridCol w:w="510"/>
        <w:gridCol w:w="109"/>
        <w:gridCol w:w="109"/>
        <w:gridCol w:w="109"/>
        <w:gridCol w:w="533"/>
        <w:gridCol w:w="533"/>
        <w:gridCol w:w="535"/>
        <w:gridCol w:w="109"/>
        <w:gridCol w:w="109"/>
        <w:gridCol w:w="109"/>
        <w:gridCol w:w="777"/>
        <w:gridCol w:w="777"/>
        <w:gridCol w:w="111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3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Retail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Leased Square Feet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Percentage leased </w:t>
            </w:r>
            <w:r>
              <w:rPr>
                <w:rFonts w:ascii="Times New Roman;serif" w:hAnsi="Times New Roman;serif"/>
                <w:b/>
                <w:color w:val="00336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w:t>
            </w:r>
            <w:r>
              <w:rPr>
                <w:rFonts w:ascii="Times New Roman;serif" w:hAnsi="Times New Roman;serif"/>
                <w:b/>
                <w:color w:val="00336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Base Rent per Leased Square Foot </w:t>
            </w:r>
            <w:r>
              <w:rPr>
                <w:rFonts w:ascii="Times New Roman;serif" w:hAnsi="Times New Roman;serif"/>
                <w:b/>
                <w:color w:val="003366"/>
                <w:sz w:val="13"/>
              </w:rPr>
              <w:t>(3)</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86,626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$9,424,918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90,346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$9,975,837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90,346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$9,628,291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89,204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$9,882,053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Lease Summary - Hotel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Number of Leased Units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Occupancy </w:t>
            </w:r>
            <w:r>
              <w:rPr>
                <w:rFonts w:ascii="Times New Roman;serif" w:hAnsi="Times New Roman;serif"/>
                <w:b/>
                <w:color w:val="003366"/>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Average Daily Rate </w:t>
            </w:r>
            <w:r>
              <w:rPr>
                <w:rFonts w:ascii="Times New Roman;serif" w:hAnsi="Times New Roman;serif"/>
                <w:b/>
                <w:color w:val="003366"/>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3366"/>
                <w:sz w:val="20"/>
              </w:rPr>
              <w:t xml:space="preserve">Annualized Revenue per Available Room </w:t>
            </w:r>
            <w:r>
              <w:rPr>
                <w:rFonts w:ascii="Times New Roman;serif" w:hAnsi="Times New Roman;serif"/>
                <w:b/>
                <w:color w:val="003366"/>
                <w:sz w:val="13"/>
              </w:rPr>
              <w:t>(4)</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Quarter</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2nd Quarter 2026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Quarter 2026</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4th Quarter 2025</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3rd Quarter 2025</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Percentage leased for mixed-use property includes square footage under leases as of June 30, 2026, including leases which may not have commenced as of June 30,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Annualized base rent is calculated by multiplying base rental payments (defined as cash base rents (before abatements)) for the month ended June 30, 2026 by 12. In the case of triple net or modified gross leases, annualized base rent does not include tenant reimbursements for real estate taxes, insurance, common area or other operating expenses.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Annualized base rent per leased square foot is calculated by dividing annualized base rent, by square footage under lease as of June 30,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    Average occupancy represents the percentage of available units that were sold during the three months ended June 30,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each respective quarter period by the number of units sold. Revenue per available room, or RevPAR, represents the total unit revenue per total available units for each respective quarter period and is calculated by multiplying average occupancy by the average daily rate. RevPAR does not include food and beverage revenues or other hotel operations revenues such as telephone, parking and other guest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91845"/>
                <wp:effectExtent l="0" t="0" r="0" b="0"/>
                <wp:wrapNone/>
                <wp:docPr id="77" name="Frame41"/>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29</w:t>
                            </w:r>
                          </w:p>
                        </w:tc>
                      </w:tr>
                    </w:tbl>
                    <w:p>
                      <w:pPr>
                        <w:pStyle w:val="TextBody"/>
                        <w:bidi w:val="0"/>
                        <w:spacing w:before="0" w:after="0"/>
                        <w:jc w:val="left"/>
                        <w:rPr/>
                      </w:pPr>
                      <w:r>
                        <w:rPr/>
                      </w:r>
                    </w:p>
                  </w:txbxContent>
                </v:textbox>
                <w10:wrap type="none"/>
              </v:rect>
            </w:pict>
          </mc:Fallback>
        </mc:AlternateContent>
      </w:r>
    </w:p>
    <w:tbl>
      <w:tblPr>
        <w:tblW w:w="4601" w:type="dxa"/>
        <w:jc w:val="left"/>
        <w:tblInd w:w="0" w:type="dxa"/>
        <w:tblLayout w:type="fixed"/>
        <w:tblCellMar>
          <w:top w:w="28" w:type="dxa"/>
          <w:left w:w="28" w:type="dxa"/>
          <w:bottom w:w="28" w:type="dxa"/>
          <w:right w:w="28" w:type="dxa"/>
        </w:tblCellMar>
      </w:tblPr>
      <w:tblGrid>
        <w:gridCol w:w="1234"/>
        <w:gridCol w:w="1084"/>
        <w:gridCol w:w="1087"/>
        <w:gridCol w:w="350"/>
        <w:gridCol w:w="350"/>
        <w:gridCol w:w="496"/>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LEASE EXPIRATIONS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7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7" descr=""/>
                          <pic:cNvPicPr>
                            <a:picLocks noChangeAspect="1" noChangeArrowheads="1"/>
                          </pic:cNvPicPr>
                        </pic:nvPicPr>
                        <pic:blipFill>
                          <a:blip r:embed="rId38"/>
                          <a:stretch>
                            <a:fillRect/>
                          </a:stretch>
                        </pic:blipFill>
                        <pic:spPr bwMode="auto">
                          <a:xfrm>
                            <a:off x="0" y="0"/>
                            <a:ext cx="676275" cy="352425"/>
                          </a:xfrm>
                          <a:prstGeom prst="rect">
                            <a:avLst/>
                          </a:prstGeom>
                        </pic:spPr>
                      </pic:pic>
                    </a:graphicData>
                  </a:graphic>
                </wp:inline>
              </w:drawing>
            </w:r>
          </w:p>
        </w:tc>
      </w:tr>
      <w:tr>
        <w:trPr/>
        <w:tc>
          <w:tcPr>
            <w:tcW w:w="3405"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9524" w:type="dxa"/>
        <w:jc w:val="left"/>
        <w:tblInd w:w="0" w:type="dxa"/>
        <w:tblLayout w:type="fixed"/>
        <w:tblCellMar>
          <w:top w:w="28" w:type="dxa"/>
          <w:left w:w="28" w:type="dxa"/>
          <w:bottom w:w="28" w:type="dxa"/>
          <w:right w:w="28" w:type="dxa"/>
        </w:tblCellMar>
      </w:tblPr>
      <w:tblGrid>
        <w:gridCol w:w="459"/>
        <w:gridCol w:w="343"/>
        <w:gridCol w:w="189"/>
        <w:gridCol w:w="109"/>
        <w:gridCol w:w="109"/>
        <w:gridCol w:w="109"/>
        <w:gridCol w:w="435"/>
        <w:gridCol w:w="436"/>
        <w:gridCol w:w="246"/>
        <w:gridCol w:w="109"/>
        <w:gridCol w:w="109"/>
        <w:gridCol w:w="109"/>
        <w:gridCol w:w="282"/>
        <w:gridCol w:w="274"/>
        <w:gridCol w:w="288"/>
        <w:gridCol w:w="109"/>
        <w:gridCol w:w="109"/>
        <w:gridCol w:w="109"/>
        <w:gridCol w:w="236"/>
        <w:gridCol w:w="230"/>
        <w:gridCol w:w="257"/>
        <w:gridCol w:w="109"/>
        <w:gridCol w:w="109"/>
        <w:gridCol w:w="109"/>
        <w:gridCol w:w="208"/>
        <w:gridCol w:w="591"/>
        <w:gridCol w:w="117"/>
        <w:gridCol w:w="109"/>
        <w:gridCol w:w="109"/>
        <w:gridCol w:w="109"/>
        <w:gridCol w:w="435"/>
        <w:gridCol w:w="436"/>
        <w:gridCol w:w="246"/>
        <w:gridCol w:w="109"/>
        <w:gridCol w:w="109"/>
        <w:gridCol w:w="109"/>
        <w:gridCol w:w="278"/>
        <w:gridCol w:w="278"/>
        <w:gridCol w:w="287"/>
        <w:gridCol w:w="109"/>
        <w:gridCol w:w="109"/>
        <w:gridCol w:w="109"/>
        <w:gridCol w:w="233"/>
        <w:gridCol w:w="233"/>
        <w:gridCol w:w="262"/>
        <w:gridCol w:w="109"/>
        <w:gridCol w:w="109"/>
        <w:gridCol w:w="109"/>
        <w:gridCol w:w="208"/>
        <w:gridCol w:w="591"/>
        <w:gridCol w:w="117"/>
        <w:gridCol w:w="109"/>
        <w:gridCol w:w="109"/>
        <w:gridCol w:w="109"/>
        <w:gridCol w:w="323"/>
        <w:gridCol w:w="323"/>
        <w:gridCol w:w="246"/>
        <w:gridCol w:w="109"/>
        <w:gridCol w:w="109"/>
        <w:gridCol w:w="109"/>
        <w:gridCol w:w="278"/>
        <w:gridCol w:w="278"/>
        <w:gridCol w:w="461"/>
        <w:gridCol w:w="327"/>
        <w:gridCol w:w="406"/>
        <w:gridCol w:w="262"/>
        <w:gridCol w:w="327"/>
        <w:gridCol w:w="196"/>
        <w:gridCol w:w="646"/>
        <w:gridCol w:w="109"/>
        <w:gridCol w:w="327"/>
        <w:gridCol w:w="871"/>
        <w:gridCol w:w="246"/>
        <w:gridCol w:w="327"/>
        <w:gridCol w:w="556"/>
        <w:gridCol w:w="262"/>
        <w:gridCol w:w="327"/>
        <w:gridCol w:w="207"/>
        <w:gridCol w:w="589"/>
        <w:gridCol w:w="165"/>
      </w:tblGrid>
      <w:tr>
        <w:trPr/>
        <w:tc>
          <w:tcPr>
            <w:tcW w:w="45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76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Assumes no exercise of lease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Mixed-Use (Retail Portion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Mixed-Use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D3F85"/>
                <w:sz w:val="16"/>
              </w:rPr>
            </w:pPr>
            <w:r>
              <w:rPr>
                <w:rFonts w:ascii="Times New Roman;serif" w:hAnsi="Times New Roman;serif"/>
                <w:b/>
                <w:color w:val="1D3F85"/>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r>
      <w:tr>
        <w:trPr/>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 to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83,139 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100,231 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541,846 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1,047,945 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908,948 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333,951 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1,256,098 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595,727 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306,558 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632,580 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118,591 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266,244 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201,279 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Signed Leases Not Commenced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197,137 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724,359 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4,273,675 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2,419,969 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6,787,569 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Assumes all lease options are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16"/>
              </w:rPr>
            </w:pPr>
            <w:r>
              <w:rPr>
                <w:rFonts w:ascii="Times New Roman;serif" w:hAnsi="Times New Roman;serif"/>
                <w:b/>
                <w:color w:val="003366"/>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Mixed-Use (Retail Portion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Annualized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Mixed-Use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Base Rent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D3F85"/>
                <w:sz w:val="16"/>
              </w:rPr>
            </w:pPr>
            <w:r>
              <w:rPr>
                <w:rFonts w:ascii="Times New Roman;serif" w:hAnsi="Times New Roman;serif"/>
                <w:b/>
                <w:color w:val="1D3F85"/>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6"/>
              </w:rPr>
            </w:pPr>
            <w:r>
              <w:rPr>
                <w:rFonts w:ascii="Times New Roman;serif" w:hAnsi="Times New Roman;serif"/>
                <w:b/>
                <w:color w:val="1D3F85"/>
                <w:sz w:val="16"/>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16"/>
              </w:rPr>
              <w:t>Per Sq. Ft.</w:t>
            </w:r>
            <w:r>
              <w:rPr>
                <w:rFonts w:ascii="Times New Roman;serif" w:hAnsi="Times New Roman;serif"/>
                <w:b/>
                <w:color w:val="1D3F85"/>
                <w:sz w:val="10"/>
              </w:rPr>
              <w:t>(1)</w:t>
            </w:r>
          </w:p>
        </w:tc>
      </w:tr>
      <w:tr>
        <w:trPr/>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 to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83,139 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100,231 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124,498 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205,231 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389,563 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223,571 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103,996 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1,670,858 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1,324,644 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3,002,105 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Signed Leases Not Commenced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197,137 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724,359 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4,273,675 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2,419,969 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93,925 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6,787,569 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91845"/>
                <wp:effectExtent l="0" t="0" r="0" b="0"/>
                <wp:wrapNone/>
                <wp:docPr id="79" name="Frame42"/>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30</w:t>
                            </w:r>
                          </w:p>
                        </w:tc>
                      </w:tr>
                    </w:tbl>
                    <w:p>
                      <w:pPr>
                        <w:pStyle w:val="TextBody"/>
                        <w:bidi w:val="0"/>
                        <w:spacing w:before="0" w:after="0"/>
                        <w:jc w:val="left"/>
                        <w:rPr/>
                      </w:pPr>
                      <w:r>
                        <w:rPr/>
                      </w:r>
                    </w:p>
                  </w:txbxContent>
                </v:textbox>
                <w10:wrap type="none"/>
              </v:rect>
            </w:pict>
          </mc:Fallback>
        </mc:AlternateContent>
      </w:r>
    </w:p>
    <w:tbl>
      <w:tblPr>
        <w:tblW w:w="6745" w:type="dxa"/>
        <w:jc w:val="left"/>
        <w:tblInd w:w="0" w:type="dxa"/>
        <w:tblLayout w:type="fixed"/>
        <w:tblCellMar>
          <w:top w:w="28" w:type="dxa"/>
          <w:left w:w="28" w:type="dxa"/>
          <w:bottom w:w="28" w:type="dxa"/>
          <w:right w:w="28" w:type="dxa"/>
        </w:tblCellMar>
      </w:tblPr>
      <w:tblGrid>
        <w:gridCol w:w="2027"/>
        <w:gridCol w:w="1781"/>
        <w:gridCol w:w="1786"/>
        <w:gridCol w:w="337"/>
        <w:gridCol w:w="337"/>
        <w:gridCol w:w="477"/>
      </w:tblGrid>
      <w:tr>
        <w:trPr/>
        <w:tc>
          <w:tcPr>
            <w:tcW w:w="202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LEASE EXPIRATIONS (CONTINUED)</w:t>
            </w:r>
          </w:p>
        </w:tc>
        <w:tc>
          <w:tcPr>
            <w:tcW w:w="115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47700" cy="342900"/>
                  <wp:effectExtent l="0" t="0" r="0" b="0"/>
                  <wp:docPr id="8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8" descr=""/>
                          <pic:cNvPicPr>
                            <a:picLocks noChangeAspect="1" noChangeArrowheads="1"/>
                          </pic:cNvPicPr>
                        </pic:nvPicPr>
                        <pic:blipFill>
                          <a:blip r:embed="rId39"/>
                          <a:stretch>
                            <a:fillRect/>
                          </a:stretch>
                        </pic:blipFill>
                        <pic:spPr bwMode="auto">
                          <a:xfrm>
                            <a:off x="0" y="0"/>
                            <a:ext cx="647700" cy="342900"/>
                          </a:xfrm>
                          <a:prstGeom prst="rect">
                            <a:avLst/>
                          </a:prstGeom>
                        </pic:spPr>
                      </pic:pic>
                    </a:graphicData>
                  </a:graphic>
                </wp:inline>
              </w:drawing>
            </w:r>
          </w:p>
        </w:tc>
      </w:tr>
      <w:tr>
        <w:trPr/>
        <w:tc>
          <w:tcPr>
            <w:tcW w:w="559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Annualized base rent per occupied square foot is calculated by dividing (i) annualized base rent for leases expiring during the applicable period, by (ii) square footage under such expiring leases. Annualized base rent is calculated by multiplying (i) base rental payments (defined as cash base rents (before abatements)) for the month ended June 30, 2026 for the leases expiring during the applicable period by (ii) 12 months.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Individual items may not add up to total due to rounding.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91845"/>
                <wp:effectExtent l="0" t="0" r="0" b="0"/>
                <wp:wrapNone/>
                <wp:docPr id="81" name="Frame43"/>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31</w:t>
                            </w:r>
                          </w:p>
                        </w:tc>
                      </w:tr>
                    </w:tbl>
                    <w:p>
                      <w:pPr>
                        <w:pStyle w:val="TextBody"/>
                        <w:bidi w:val="0"/>
                        <w:spacing w:before="0" w:after="0"/>
                        <w:jc w:val="left"/>
                        <w:rPr/>
                      </w:pPr>
                      <w:r>
                        <w:rPr/>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907"/>
        <w:gridCol w:w="1677"/>
        <w:gridCol w:w="1680"/>
        <w:gridCol w:w="350"/>
        <w:gridCol w:w="350"/>
        <w:gridCol w:w="496"/>
      </w:tblGrid>
      <w:tr>
        <w:trPr/>
        <w:tc>
          <w:tcPr>
            <w:tcW w:w="190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PORTFOLIO LEASED STATISTICS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9" descr=""/>
                          <pic:cNvPicPr>
                            <a:picLocks noChangeAspect="1" noChangeArrowheads="1"/>
                          </pic:cNvPicPr>
                        </pic:nvPicPr>
                        <pic:blipFill>
                          <a:blip r:embed="rId40"/>
                          <a:stretch>
                            <a:fillRect/>
                          </a:stretch>
                        </pic:blipFill>
                        <pic:spPr bwMode="auto">
                          <a:xfrm>
                            <a:off x="0" y="0"/>
                            <a:ext cx="676275" cy="352425"/>
                          </a:xfrm>
                          <a:prstGeom prst="rect">
                            <a:avLst/>
                          </a:prstGeom>
                        </pic:spPr>
                      </pic:pic>
                    </a:graphicData>
                  </a:graphic>
                </wp:inline>
              </w:drawing>
            </w:r>
          </w:p>
        </w:tc>
      </w:tr>
      <w:tr>
        <w:trPr/>
        <w:tc>
          <w:tcPr>
            <w:tcW w:w="526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6"/>
        <w:gridCol w:w="458"/>
        <w:gridCol w:w="463"/>
        <w:gridCol w:w="109"/>
        <w:gridCol w:w="109"/>
        <w:gridCol w:w="109"/>
        <w:gridCol w:w="488"/>
        <w:gridCol w:w="488"/>
        <w:gridCol w:w="151"/>
        <w:gridCol w:w="109"/>
        <w:gridCol w:w="109"/>
        <w:gridCol w:w="109"/>
        <w:gridCol w:w="488"/>
        <w:gridCol w:w="488"/>
        <w:gridCol w:w="254"/>
        <w:gridCol w:w="109"/>
        <w:gridCol w:w="109"/>
        <w:gridCol w:w="109"/>
        <w:gridCol w:w="255"/>
        <w:gridCol w:w="256"/>
        <w:gridCol w:w="426"/>
        <w:gridCol w:w="109"/>
        <w:gridCol w:w="109"/>
        <w:gridCol w:w="109"/>
        <w:gridCol w:w="488"/>
        <w:gridCol w:w="488"/>
        <w:gridCol w:w="151"/>
        <w:gridCol w:w="109"/>
        <w:gridCol w:w="109"/>
        <w:gridCol w:w="109"/>
        <w:gridCol w:w="488"/>
        <w:gridCol w:w="488"/>
        <w:gridCol w:w="254"/>
        <w:gridCol w:w="109"/>
        <w:gridCol w:w="109"/>
        <w:gridCol w:w="109"/>
        <w:gridCol w:w="255"/>
        <w:gridCol w:w="256"/>
        <w:gridCol w:w="484"/>
      </w:tblGrid>
      <w:tr>
        <w:trPr/>
        <w:tc>
          <w:tcPr>
            <w:tcW w:w="67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3366"/>
                <w:sz w:val="20"/>
              </w:rPr>
            </w:pPr>
            <w:r>
              <w:rPr>
                <w:rFonts w:ascii="Times New Roman;serif" w:hAnsi="Times New Roman;serif"/>
                <w:b/>
                <w:color w:val="003366"/>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At June 30, 2025</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20"/>
              </w:rPr>
              <w:t xml:space="preserve">Leased </w:t>
            </w:r>
            <w:r>
              <w:rPr>
                <w:rFonts w:ascii="Times New Roman;serif" w:hAnsi="Times New Roman;serif"/>
                <w:b/>
                <w:color w:val="1D3F85"/>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Leased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1D3F85"/>
                <w:sz w:val="20"/>
              </w:rPr>
              <w:t xml:space="preserve">Leased </w:t>
            </w:r>
            <w:r>
              <w:rPr>
                <w:rFonts w:ascii="Times New Roman;serif" w:hAnsi="Times New Roman;serif"/>
                <w:b/>
                <w:color w:val="1D3F85"/>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20"/>
              </w:rPr>
            </w:pPr>
            <w:r>
              <w:rPr>
                <w:rFonts w:ascii="Times New Roman;serif" w:hAnsi="Times New Roman;serif"/>
                <w:b/>
                <w:color w:val="1D3F85"/>
                <w:sz w:val="20"/>
              </w:rPr>
              <w:t>Leased %</w:t>
            </w:r>
          </w:p>
        </w:tc>
      </w:tr>
      <w:tr>
        <w:trPr/>
        <w:tc>
          <w:tcPr>
            <w:tcW w:w="1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Overall Portfolio</w:t>
            </w:r>
            <w:r>
              <w:rPr>
                <w:rFonts w:ascii="Times New Roman;serif" w:hAnsi="Times New Roman;serif"/>
                <w:b/>
                <w:color w:val="000000"/>
                <w:sz w:val="13"/>
              </w:rPr>
              <w:t xml:space="preserve">(2) </w:t>
            </w:r>
            <w:r>
              <w:rPr>
                <w:rFonts w:ascii="Times New Roman;serif" w:hAnsi="Times New Roman;serif"/>
                <w:b/>
                <w:color w:val="000000"/>
                <w:sz w:val="20"/>
              </w:rPr>
              <w:t>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Office Properties (square feet)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3,606,538 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4,283,607 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3,510,838 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Properties (square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2,370,046 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2,364,002 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Multifamily Properties (units)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 Properties (square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Mixed-Use Properties (units)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Same-Store</w:t>
            </w:r>
            <w:r>
              <w:rPr>
                <w:rFonts w:ascii="Times New Roman;serif" w:hAnsi="Times New Roman;serif"/>
                <w:b/>
                <w:color w:val="000000"/>
                <w:sz w:val="13"/>
              </w:rPr>
              <w:t>(2) (5)</w:t>
            </w:r>
            <w:r>
              <w:rPr>
                <w:color w:val="000000"/>
              </w:rPr>
              <w:t xml:space="preserve"> </w:t>
            </w:r>
            <w:r>
              <w:rPr>
                <w:rFonts w:ascii="Times New Roman;serif" w:hAnsi="Times New Roman;serif"/>
                <w:b/>
                <w:color w:val="000000"/>
                <w:sz w:val="20"/>
              </w:rPr>
              <w:t>Statistics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Properties (square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3,606,538 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4,283,607 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3,510,838 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Properties (square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2,370,046 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2,364,002 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Multifamily Properties (units)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 Properties (square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Mixed-Use Properties (units)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Leased square feet includes square feet under lease as of each date, including leases which may not have commenced as of that date. Leased units for our multifamily properties include total units leased and occupied as of that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See Glossary of Terms.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Santa Fe Park RV Resort is excluded from the multifamily presentation above to reflect traditional multifamily performance as of each of the applicable dates.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average occupancy for the six months ended June 30, 2026 and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Same-store portfolio excludes land held for development.     </w:t>
      </w:r>
    </w:p>
    <w:p>
      <w:pPr>
        <w:pStyle w:val="TextBody"/>
        <w:bidi w:val="0"/>
        <w:spacing w:before="0" w:after="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91845"/>
                <wp:effectExtent l="0" t="0" r="0" b="0"/>
                <wp:wrapNone/>
                <wp:docPr id="83" name="Frame44"/>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32</w:t>
                            </w:r>
                          </w:p>
                        </w:tc>
                      </w:tr>
                    </w:tbl>
                    <w:p>
                      <w:pPr>
                        <w:pStyle w:val="TextBody"/>
                        <w:bidi w:val="0"/>
                        <w:spacing w:before="0" w:after="0"/>
                        <w:jc w:val="left"/>
                        <w:rPr/>
                      </w:pPr>
                      <w:r>
                        <w:rPr/>
                      </w:r>
                    </w:p>
                  </w:txbxContent>
                </v:textbox>
                <w10:wrap type="none"/>
              </v:rect>
            </w:pict>
          </mc:Fallback>
        </mc:AlternateContent>
      </w:r>
    </w:p>
    <w:tbl>
      <w:tblPr>
        <w:tblW w:w="4960" w:type="dxa"/>
        <w:jc w:val="left"/>
        <w:tblInd w:w="0" w:type="dxa"/>
        <w:tblLayout w:type="fixed"/>
        <w:tblCellMar>
          <w:top w:w="28" w:type="dxa"/>
          <w:left w:w="28" w:type="dxa"/>
          <w:bottom w:w="28" w:type="dxa"/>
          <w:right w:w="28" w:type="dxa"/>
        </w:tblCellMar>
      </w:tblPr>
      <w:tblGrid>
        <w:gridCol w:w="1364"/>
        <w:gridCol w:w="1198"/>
        <w:gridCol w:w="1202"/>
        <w:gridCol w:w="350"/>
        <w:gridCol w:w="350"/>
        <w:gridCol w:w="496"/>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TOP TENANTS - OFFICE</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8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0" descr=""/>
                          <pic:cNvPicPr>
                            <a:picLocks noChangeAspect="1" noChangeArrowheads="1"/>
                          </pic:cNvPicPr>
                        </pic:nvPicPr>
                        <pic:blipFill>
                          <a:blip r:embed="rId41"/>
                          <a:stretch>
                            <a:fillRect/>
                          </a:stretch>
                        </pic:blipFill>
                        <pic:spPr bwMode="auto">
                          <a:xfrm>
                            <a:off x="0" y="0"/>
                            <a:ext cx="676275" cy="352425"/>
                          </a:xfrm>
                          <a:prstGeom prst="rect">
                            <a:avLst/>
                          </a:prstGeom>
                        </pic:spPr>
                      </pic:pic>
                    </a:graphicData>
                  </a:graphic>
                </wp:inline>
              </w:drawing>
            </w:r>
          </w:p>
        </w:tc>
      </w:tr>
      <w:tr>
        <w:trPr/>
        <w:tc>
          <w:tcPr>
            <w:tcW w:w="376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936" w:type="dxa"/>
        <w:jc w:val="left"/>
        <w:tblInd w:w="0" w:type="dxa"/>
        <w:tblLayout w:type="fixed"/>
        <w:tblCellMar>
          <w:top w:w="28" w:type="dxa"/>
          <w:left w:w="28" w:type="dxa"/>
          <w:bottom w:w="28" w:type="dxa"/>
          <w:right w:w="28" w:type="dxa"/>
        </w:tblCellMar>
      </w:tblPr>
      <w:tblGrid>
        <w:gridCol w:w="267"/>
        <w:gridCol w:w="109"/>
        <w:gridCol w:w="109"/>
        <w:gridCol w:w="550"/>
        <w:gridCol w:w="550"/>
        <w:gridCol w:w="221"/>
        <w:gridCol w:w="109"/>
        <w:gridCol w:w="109"/>
        <w:gridCol w:w="109"/>
        <w:gridCol w:w="309"/>
        <w:gridCol w:w="309"/>
        <w:gridCol w:w="313"/>
        <w:gridCol w:w="109"/>
        <w:gridCol w:w="109"/>
        <w:gridCol w:w="109"/>
        <w:gridCol w:w="310"/>
        <w:gridCol w:w="310"/>
        <w:gridCol w:w="311"/>
        <w:gridCol w:w="109"/>
        <w:gridCol w:w="109"/>
        <w:gridCol w:w="109"/>
        <w:gridCol w:w="716"/>
        <w:gridCol w:w="275"/>
        <w:gridCol w:w="276"/>
        <w:gridCol w:w="109"/>
        <w:gridCol w:w="109"/>
        <w:gridCol w:w="109"/>
        <w:gridCol w:w="331"/>
        <w:gridCol w:w="195"/>
        <w:gridCol w:w="541"/>
        <w:gridCol w:w="109"/>
        <w:gridCol w:w="109"/>
        <w:gridCol w:w="109"/>
        <w:gridCol w:w="331"/>
        <w:gridCol w:w="195"/>
        <w:gridCol w:w="541"/>
        <w:gridCol w:w="109"/>
        <w:gridCol w:w="109"/>
        <w:gridCol w:w="109"/>
        <w:gridCol w:w="211"/>
        <w:gridCol w:w="1096"/>
        <w:gridCol w:w="109"/>
        <w:gridCol w:w="109"/>
        <w:gridCol w:w="109"/>
        <w:gridCol w:w="109"/>
        <w:gridCol w:w="326"/>
        <w:gridCol w:w="200"/>
        <w:gridCol w:w="636"/>
      </w:tblGrid>
      <w:tr>
        <w:trPr/>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8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Tenant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Lease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Total Occupied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Rentable Square Feet as a Percentage of Total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Rentable Square Feet as a Percentage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Annualized 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Annualized Base Rent as a Percentage of Total Office</w:t>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Google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Landmark at One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28,213,097 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LPL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Jolla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Autodesk, Inc.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Landmark at One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12/31/2028</w:t>
              <w:br/>
              <w:t>6/30/2031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Smartsheet, Inc.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Center Bellevue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br/>
              <w:t>4/30/2029</w:t>
              <w:br/>
              <w:t>12/31/2032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Databricks, Inc.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Center Bellevue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11/30/2027</w:t>
              <w:br/>
              <w:t>1/31/2028</w:t>
              <w:br/>
              <w:t>3/31/2028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Industrious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Center Bellevue</w:t>
              <w:br/>
              <w:t>La Jolla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3/31/2030</w:t>
              <w:br/>
              <w:t>4/30/2033</w:t>
              <w:br/>
              <w:t>3/31/2034</w:t>
              <w:b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Illumina,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Jolla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of Oregon: Department of Environmental Quality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Lloyd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Top technology tenant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Jolla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Genentech,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Lloyd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Top 10 Office Tenants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1,367,904</w:t>
            </w:r>
            <w:r>
              <w:rPr>
                <w:color w:val="000000"/>
              </w:rPr>
              <w:t>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95,075,063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For Autodesk, Inc., 92,820 and 45,795 of leased square feet have a lease expiration of December 31, 2028 and June 30, 2031,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For Smartsheet, Inc., 19,697, 49,372, and 34,275 of leased square feet have a lease expiration of December 31, 2026, April 30, 2029, and December 31, 2032,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    For Databricks, Inc., 17,623, 32,562, and 37,500 of leased square feet have a lease expiration of November 30, 2027, January 31, 2028, and March 31, 2028, respectively.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    For Industrious, 19,697, 18,090, 37,166, and 20,493 of leased square feet have a lease expiration of March 31, 2030 (City Center Bellevue), April 30, 2033 (City Center Bellevue), March 31, 2034 (City Center Bellevue), and July 31, 2035 (La Jolla Commons), respectively.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Name withheld per tenant's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91845"/>
                <wp:effectExtent l="0" t="0" r="0" b="0"/>
                <wp:wrapNone/>
                <wp:docPr id="85" name="Frame45"/>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33</w:t>
                            </w:r>
                          </w:p>
                        </w:tc>
                      </w:tr>
                    </w:tbl>
                    <w:p>
                      <w:pPr>
                        <w:pStyle w:val="TextBody"/>
                        <w:bidi w:val="0"/>
                        <w:spacing w:before="0" w:after="0"/>
                        <w:jc w:val="left"/>
                        <w:rPr/>
                      </w:pPr>
                      <w:r>
                        <w:rPr/>
                      </w:r>
                    </w:p>
                  </w:txbxContent>
                </v:textbox>
                <w10:wrap type="none"/>
              </v:rect>
            </w:pict>
          </mc:Fallback>
        </mc:AlternateContent>
      </w:r>
    </w:p>
    <w:tbl>
      <w:tblPr>
        <w:tblW w:w="4976" w:type="dxa"/>
        <w:jc w:val="left"/>
        <w:tblInd w:w="0" w:type="dxa"/>
        <w:tblLayout w:type="fixed"/>
        <w:tblCellMar>
          <w:top w:w="28" w:type="dxa"/>
          <w:left w:w="28" w:type="dxa"/>
          <w:bottom w:w="28" w:type="dxa"/>
          <w:right w:w="28" w:type="dxa"/>
        </w:tblCellMar>
      </w:tblPr>
      <w:tblGrid>
        <w:gridCol w:w="1370"/>
        <w:gridCol w:w="1203"/>
        <w:gridCol w:w="1207"/>
        <w:gridCol w:w="350"/>
        <w:gridCol w:w="350"/>
        <w:gridCol w:w="496"/>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TOP TENANTS - RETAIL</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8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1" descr=""/>
                          <pic:cNvPicPr>
                            <a:picLocks noChangeAspect="1" noChangeArrowheads="1"/>
                          </pic:cNvPicPr>
                        </pic:nvPicPr>
                        <pic:blipFill>
                          <a:blip r:embed="rId42"/>
                          <a:stretch>
                            <a:fillRect/>
                          </a:stretch>
                        </pic:blipFill>
                        <pic:spPr bwMode="auto">
                          <a:xfrm>
                            <a:off x="0" y="0"/>
                            <a:ext cx="676275" cy="352425"/>
                          </a:xfrm>
                          <a:prstGeom prst="rect">
                            <a:avLst/>
                          </a:prstGeom>
                        </pic:spPr>
                      </pic:pic>
                    </a:graphicData>
                  </a:graphic>
                </wp:inline>
              </w:drawing>
            </w:r>
          </w:p>
        </w:tc>
      </w:tr>
      <w:tr>
        <w:trPr/>
        <w:tc>
          <w:tcPr>
            <w:tcW w:w="3780"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771" w:type="dxa"/>
        <w:jc w:val="left"/>
        <w:tblInd w:w="0" w:type="dxa"/>
        <w:tblLayout w:type="fixed"/>
        <w:tblCellMar>
          <w:top w:w="28" w:type="dxa"/>
          <w:left w:w="28" w:type="dxa"/>
          <w:bottom w:w="28" w:type="dxa"/>
          <w:right w:w="28" w:type="dxa"/>
        </w:tblCellMar>
      </w:tblPr>
      <w:tblGrid>
        <w:gridCol w:w="267"/>
        <w:gridCol w:w="109"/>
        <w:gridCol w:w="109"/>
        <w:gridCol w:w="661"/>
        <w:gridCol w:w="286"/>
        <w:gridCol w:w="164"/>
        <w:gridCol w:w="109"/>
        <w:gridCol w:w="109"/>
        <w:gridCol w:w="109"/>
        <w:gridCol w:w="454"/>
        <w:gridCol w:w="391"/>
        <w:gridCol w:w="281"/>
        <w:gridCol w:w="109"/>
        <w:gridCol w:w="109"/>
        <w:gridCol w:w="109"/>
        <w:gridCol w:w="310"/>
        <w:gridCol w:w="310"/>
        <w:gridCol w:w="311"/>
        <w:gridCol w:w="109"/>
        <w:gridCol w:w="109"/>
        <w:gridCol w:w="109"/>
        <w:gridCol w:w="566"/>
        <w:gridCol w:w="275"/>
        <w:gridCol w:w="276"/>
        <w:gridCol w:w="109"/>
        <w:gridCol w:w="109"/>
        <w:gridCol w:w="109"/>
        <w:gridCol w:w="331"/>
        <w:gridCol w:w="195"/>
        <w:gridCol w:w="541"/>
        <w:gridCol w:w="109"/>
        <w:gridCol w:w="109"/>
        <w:gridCol w:w="109"/>
        <w:gridCol w:w="331"/>
        <w:gridCol w:w="195"/>
        <w:gridCol w:w="541"/>
        <w:gridCol w:w="109"/>
        <w:gridCol w:w="109"/>
        <w:gridCol w:w="109"/>
        <w:gridCol w:w="211"/>
        <w:gridCol w:w="1096"/>
        <w:gridCol w:w="109"/>
        <w:gridCol w:w="109"/>
        <w:gridCol w:w="109"/>
        <w:gridCol w:w="109"/>
        <w:gridCol w:w="326"/>
        <w:gridCol w:w="200"/>
        <w:gridCol w:w="636"/>
      </w:tblGrid>
      <w:tr>
        <w:trPr/>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5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20"/>
              </w:rPr>
            </w:pPr>
            <w:r>
              <w:rPr>
                <w:rFonts w:ascii="Times New Roman;serif" w:hAnsi="Times New Roman;serif"/>
                <w:b/>
                <w:color w:val="003366"/>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Tenant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Property(ies)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Lease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Total Occupied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Rentable Square Feet as a Percentage of Total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Rentable Square Feet as a Percentage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Annualized 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1D3F85"/>
                <w:sz w:val="18"/>
              </w:rPr>
            </w:pPr>
            <w:r>
              <w:rPr>
                <w:rFonts w:ascii="Times New Roman;serif" w:hAnsi="Times New Roman;serif"/>
                <w:b/>
                <w:color w:val="1D3F85"/>
                <w:sz w:val="18"/>
              </w:rPr>
              <w:t>Annualized Base Rent as a Percentage of Total Retail</w:t>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Waikele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Sprouts Farmers Market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Beach Towne Centre</w:t>
              <w:br/>
              <w:t>Geary Marketplace</w:t>
              <w:br/>
              <w:t xml:space="preserve">Carmel Mountain Plaza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6/30/2029</w:t>
              <w:br/>
              <w:t>9/30/2032</w:t>
              <w:br/>
              <w:t>3/31/2035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Mountain Plaza</w:t>
              <w:br/>
              <w:t>Solana Beach Towne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1/31/2029</w:t>
              <w:br/>
              <w:t>1/31/2035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Nordstrom Rack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Mountain Plaza</w:t>
              <w:br/>
              <w:t>Alamo Quarry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br/>
              <w:t>10/31/2027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Lomas Santa Fe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Navy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Alamo Quarry Market</w:t>
              <w:br/>
              <w:t>Southbay Marketplace</w:t>
              <w:br/>
              <w:t>Waikele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br/>
              <w:t>4/30/2028</w:t>
              <w:br/>
              <w:t>7/31/2030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 Salons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Beach Towne Centre</w:t>
              <w:br/>
              <w:t>Hassalo on Eighth</w:t>
              <w:br/>
              <w:t>South Bay Marketplace</w:t>
              <w:br/>
              <w:t>Carmel Mountain Plaza</w:t>
              <w:br/>
              <w:t>Carmel Country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11/30/2029</w:t>
              <w:br/>
              <w:t>3/31/2031</w:t>
              <w:br/>
              <w:t>6/30/2032</w:t>
              <w:br/>
              <w:t>8/31/2034</w:t>
              <w:br/>
              <w:t xml:space="preserve">2/29/2036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Waikele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Lomas Santa Fe Plaza</w:t>
              <w:br/>
              <w:t>Alamo Quarry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2/28/2030</w:t>
              <w:br/>
              <w:t>8/31/2034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Hobby Lobby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Top 10 Retail Tenants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679,727</w:t>
            </w:r>
            <w:r>
              <w:rPr>
                <w:color w:val="000000"/>
              </w:rPr>
              <w:t>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17,763,129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For Sprouts Farmers Market, 14,986, 25,472, and 30,973 of leased square feet have a lease expiration of June 30, 2029 (Solana Beach Towne Centre), September 30, 2032 (Geary Marketplace), and March 31, 2035 (Carmel Mountain Plaza),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For Marshalls, 28,760 and 39,295 of leased square feet have a lease expiration of January 31, 2029 (Carmel Mountain Plaza) and January 31, 2035 (Solana Beach Towne Centre).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For Nordstrom Rack, 39,047 and 30,000 of leased square feet have a lease expiration of September 30, 2027 (Carmel Mountain Plaza) and October 31, 2027 (Alamo Quarry Market),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For Old Navy, 15,021, 20,000 and 17,915 of leased square feet have a lease expiration of September 30, 2027 (Alamo Quarry Market), April 30, 2028 (South Bay Marketplace) and July 31, 2030 (Waikele Center),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    For Sola Salons, 6,300, 5,775, 7,500, 14,289, and 8,712 of leased square feet have a lease expiration of November 30, 2029 (Solana Beach Towne Centre), March 31, 2031 (Hassalo on Eighth - Retail), June 30, 2032 (South Bay Marketplace), August 31, 2034 (Carmel Mountain Plaza), and February 29, 2036 (Carmel Country Plaza), respectively.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    For HomeGoods, 30,000 and 25,837 of leased square feet have a lease expiration of February 28, 2030 (Lomas Sante Fe Plaza) and August 31, 2034 (Alamo Quarry Market),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91845"/>
                <wp:effectExtent l="0" t="0" r="0" b="0"/>
                <wp:wrapNone/>
                <wp:docPr id="87" name="Frame46"/>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34</w:t>
                            </w:r>
                          </w:p>
                        </w:tc>
                      </w:tr>
                    </w:tbl>
                    <w:p>
                      <w:pPr>
                        <w:pStyle w:val="TextBody"/>
                        <w:bidi w:val="0"/>
                        <w:spacing w:before="0" w:after="0"/>
                        <w:jc w:val="left"/>
                        <w:rPr/>
                      </w:pPr>
                      <w:r>
                        <w:rPr/>
                      </w:r>
                    </w:p>
                  </w:txbxContent>
                </v:textbox>
                <w10:wrap type="none"/>
              </v:rect>
            </w:pict>
          </mc:Fallback>
        </mc:AlternateContent>
      </w:r>
    </w:p>
    <w:tbl>
      <w:tblPr>
        <w:tblW w:w="1538" w:type="dxa"/>
        <w:jc w:val="left"/>
        <w:tblInd w:w="0" w:type="dxa"/>
        <w:tblLayout w:type="fixed"/>
        <w:tblCellMar>
          <w:top w:w="28" w:type="dxa"/>
          <w:left w:w="28" w:type="dxa"/>
          <w:bottom w:w="28" w:type="dxa"/>
          <w:right w:w="28" w:type="dxa"/>
        </w:tblCellMar>
      </w:tblPr>
      <w:tblGrid>
        <w:gridCol w:w="124"/>
        <w:gridCol w:w="109"/>
        <w:gridCol w:w="109"/>
        <w:gridCol w:w="350"/>
        <w:gridCol w:w="350"/>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8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2" descr=""/>
                          <pic:cNvPicPr>
                            <a:picLocks noChangeAspect="1" noChangeArrowheads="1"/>
                          </pic:cNvPicPr>
                        </pic:nvPicPr>
                        <pic:blipFill>
                          <a:blip r:embed="rId43"/>
                          <a:stretch>
                            <a:fillRect/>
                          </a:stretch>
                        </pic:blipFill>
                        <pic:spPr bwMode="auto">
                          <a:xfrm>
                            <a:off x="0" y="0"/>
                            <a:ext cx="676275" cy="352425"/>
                          </a:xfrm>
                          <a:prstGeom prst="rect">
                            <a:avLst/>
                          </a:prstGeom>
                        </pic:spPr>
                      </pic:pic>
                    </a:graphicData>
                  </a:graphic>
                </wp:inline>
              </w:drawing>
            </w:r>
          </w:p>
        </w:tc>
      </w:tr>
      <w:tr>
        <w:trPr/>
        <w:tc>
          <w:tcPr>
            <w:tcW w:w="342"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3366"/>
          <w:sz w:val="80"/>
        </w:rPr>
      </w:pPr>
      <w:r>
        <w:rPr>
          <w:rFonts w:ascii="Times New Roman;serif" w:hAnsi="Times New Roman;serif"/>
          <w:b/>
          <w:color w:val="003366"/>
          <w:sz w:val="80"/>
        </w:rPr>
        <w:t>APPENDIX</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91845"/>
                <wp:effectExtent l="0" t="0" r="0" b="0"/>
                <wp:wrapNone/>
                <wp:docPr id="89" name="Frame47"/>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35</w:t>
                            </w:r>
                          </w:p>
                        </w:tc>
                      </w:tr>
                    </w:tbl>
                    <w:p>
                      <w:pPr>
                        <w:pStyle w:val="TextBody"/>
                        <w:bidi w:val="0"/>
                        <w:spacing w:before="0" w:after="0"/>
                        <w:jc w:val="left"/>
                        <w:rPr/>
                      </w:pPr>
                      <w:r>
                        <w:rPr/>
                      </w:r>
                    </w:p>
                  </w:txbxContent>
                </v:textbox>
                <w10:wrap type="none"/>
              </v:rect>
            </w:pict>
          </mc:Fallback>
        </mc:AlternateContent>
      </w:r>
    </w:p>
    <w:tbl>
      <w:tblPr>
        <w:tblW w:w="4750" w:type="dxa"/>
        <w:jc w:val="left"/>
        <w:tblInd w:w="0" w:type="dxa"/>
        <w:tblLayout w:type="fixed"/>
        <w:tblCellMar>
          <w:top w:w="28" w:type="dxa"/>
          <w:left w:w="28" w:type="dxa"/>
          <w:bottom w:w="28" w:type="dxa"/>
          <w:right w:w="28" w:type="dxa"/>
        </w:tblCellMar>
      </w:tblPr>
      <w:tblGrid>
        <w:gridCol w:w="1288"/>
        <w:gridCol w:w="1132"/>
        <w:gridCol w:w="1134"/>
        <w:gridCol w:w="350"/>
        <w:gridCol w:w="350"/>
        <w:gridCol w:w="496"/>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9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3" descr=""/>
                          <pic:cNvPicPr>
                            <a:picLocks noChangeAspect="1" noChangeArrowheads="1"/>
                          </pic:cNvPicPr>
                        </pic:nvPicPr>
                        <pic:blipFill>
                          <a:blip r:embed="rId44"/>
                          <a:stretch>
                            <a:fillRect/>
                          </a:stretch>
                        </pic:blipFill>
                        <pic:spPr bwMode="auto">
                          <a:xfrm>
                            <a:off x="0" y="0"/>
                            <a:ext cx="676275" cy="352425"/>
                          </a:xfrm>
                          <a:prstGeom prst="rect">
                            <a:avLst/>
                          </a:prstGeom>
                        </pic:spPr>
                      </pic:pic>
                    </a:graphicData>
                  </a:graphic>
                </wp:inline>
              </w:drawing>
            </w:r>
          </w:p>
        </w:tc>
      </w:tr>
      <w:tr>
        <w:trPr/>
        <w:tc>
          <w:tcPr>
            <w:tcW w:w="355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color w:val="000000"/>
          <w:sz w:val="16"/>
        </w:rPr>
        <w:t>Earnings Before Interest, Taxes, Depreciation, and Amortization (EBITDA):</w:t>
      </w:r>
      <w:r>
        <w:rPr>
          <w:color w:val="000000"/>
        </w:rPr>
        <w:t xml:space="preserve"> </w:t>
      </w:r>
      <w:r>
        <w:rPr>
          <w:rFonts w:ascii="Times New Roman;serif" w:hAnsi="Times New Roman;serif"/>
          <w:b w:val="false"/>
          <w:color w:val="000000"/>
          <w:sz w:val="16"/>
        </w:rPr>
        <w:t>EBITDA is a non-GAAP measure that means net income or loss plus depreciation and amortization, net interest expense, income taxes, gain or loss on sale of real estate and impairments of real estate, if any. EBITDA is presented because it approximates a key performance measure in our debt covenants, but it should not be considered an alternative measure of operating results or cash flow from operations as determined in accordance with GAAP. The reconciliation of net income to EBITDA for the three and six months ended June 30, 2026 and 2025 is as follows:</w:t>
      </w:r>
    </w:p>
    <w:tbl>
      <w:tblPr>
        <w:tblW w:w="7274" w:type="dxa"/>
        <w:jc w:val="left"/>
        <w:tblInd w:w="0" w:type="dxa"/>
        <w:tblLayout w:type="fixed"/>
        <w:tblCellMar>
          <w:top w:w="28" w:type="dxa"/>
          <w:left w:w="28" w:type="dxa"/>
          <w:bottom w:w="28" w:type="dxa"/>
          <w:right w:w="28" w:type="dxa"/>
        </w:tblCellMar>
      </w:tblPr>
      <w:tblGrid>
        <w:gridCol w:w="817"/>
        <w:gridCol w:w="720"/>
        <w:gridCol w:w="72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expense,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Adjusted EBITDA:</w:t>
      </w:r>
      <w:r>
        <w:rPr>
          <w:color w:val="000000"/>
        </w:rPr>
        <w:t xml:space="preserve"> </w:t>
      </w:r>
      <w:r>
        <w:rPr>
          <w:rFonts w:ascii="Times New Roman;serif" w:hAnsi="Times New Roman;serif"/>
          <w:b w:val="false"/>
          <w:color w:val="000000"/>
          <w:sz w:val="16"/>
        </w:rPr>
        <w:t>Adjusted EBITDA is a non-GAAP measure that begins with EBITDA and includes adjustments for certain items that we believe are not representative of ongoing operating performance. Specifically, we include an early extinguishment of debt adjustment and pro forma adjustment to reflect a full period of NOI on the operating properties we acquire during the quarter, to assume all transactions occurred at the beginning of the quarter. We use Adjusted EBITDA as a supplemental performance measure because we believe these items create significant earnings volatility which in turn results in less comparability between reporting periods and less predictability regarding future earnings potential. However, Adjusted EBITDA should not be considered an alternative measure of operating results or cash flow from operations as determined by GAAP. The reconciliation of EBITDA to Adjusted EBITDA for the three and six months ended June 30, 2026 and 2025 is as follows:</w:t>
      </w:r>
    </w:p>
    <w:tbl>
      <w:tblPr>
        <w:tblW w:w="6689" w:type="dxa"/>
        <w:jc w:val="left"/>
        <w:tblInd w:w="0" w:type="dxa"/>
        <w:tblLayout w:type="fixed"/>
        <w:tblCellMar>
          <w:top w:w="28" w:type="dxa"/>
          <w:left w:w="28" w:type="dxa"/>
          <w:bottom w:w="28" w:type="dxa"/>
          <w:right w:w="28" w:type="dxa"/>
        </w:tblCellMar>
      </w:tblPr>
      <w:tblGrid>
        <w:gridCol w:w="606"/>
        <w:gridCol w:w="532"/>
        <w:gridCol w:w="541"/>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 forma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Earnings Before Interest, Taxes, Depreciation, and Amortization for Real Estate (EBITDA</w:t>
      </w:r>
      <w:r>
        <w:rPr>
          <w:rFonts w:ascii="Times New Roman;serif" w:hAnsi="Times New Roman;serif"/>
          <w:b/>
          <w:i/>
          <w:color w:val="000000"/>
          <w:sz w:val="16"/>
        </w:rPr>
        <w:t>re</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16"/>
        </w:rPr>
        <w:t>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is a supplemental non-GAAP measure of real estate companies' operating performances. The National Association of Real Estate Investment Trusts (NAREIT) defines 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as follows: net income or loss, computed in accordance with GAAP plus depreciation and amortization, net interest expense, income taxes, gain or loss on sale of real estate including gain or loss on change of control, impairments of real estate, and adjustments to reflect the entity's share of 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of unconsolidated affiliates, if any. EBITDA</w:t>
      </w:r>
      <w:r>
        <w:rPr>
          <w:rFonts w:ascii="Times New Roman;serif" w:hAnsi="Times New Roman;serif"/>
          <w:b w:val="false"/>
          <w:i/>
          <w:color w:val="000000"/>
          <w:sz w:val="16"/>
        </w:rPr>
        <w:t xml:space="preserve">re </w:t>
      </w:r>
      <w:r>
        <w:rPr>
          <w:rFonts w:ascii="Times New Roman;serif" w:hAnsi="Times New Roman;serif"/>
          <w:b w:val="false"/>
          <w:color w:val="000000"/>
          <w:sz w:val="16"/>
        </w:rPr>
        <w:t>is presented because it approximates a key performance measure in our debt covenants, but it should not be considered an alternative measure of operating results or cash flow from operations as determined in accordance with GAAP. The reconciliation of net income to 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for the three and six months ended June 30, 2026 and 2025 is as follows:</w:t>
      </w:r>
    </w:p>
    <w:tbl>
      <w:tblPr>
        <w:tblW w:w="7274" w:type="dxa"/>
        <w:jc w:val="left"/>
        <w:tblInd w:w="0" w:type="dxa"/>
        <w:tblLayout w:type="fixed"/>
        <w:tblCellMar>
          <w:top w:w="28" w:type="dxa"/>
          <w:left w:w="28" w:type="dxa"/>
          <w:bottom w:w="28" w:type="dxa"/>
          <w:right w:w="28" w:type="dxa"/>
        </w:tblCellMar>
      </w:tblPr>
      <w:tblGrid>
        <w:gridCol w:w="817"/>
        <w:gridCol w:w="720"/>
        <w:gridCol w:w="72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expense,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EBITDA</w:t>
            </w:r>
            <w:r>
              <w:rPr>
                <w:rFonts w:ascii="Times New Roman;serif" w:hAnsi="Times New Roman;serif"/>
                <w:b w:val="false"/>
                <w:i/>
                <w:color w:val="000000"/>
                <w:sz w:val="16"/>
              </w:rPr>
              <w:t>re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91845"/>
                <wp:effectExtent l="0" t="0" r="0" b="0"/>
                <wp:wrapNone/>
                <wp:docPr id="91" name="Frame48"/>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36</w:t>
                            </w:r>
                          </w:p>
                        </w:tc>
                      </w:tr>
                    </w:tbl>
                    <w:p>
                      <w:pPr>
                        <w:pStyle w:val="TextBody"/>
                        <w:bidi w:val="0"/>
                        <w:spacing w:before="0" w:after="0"/>
                        <w:jc w:val="left"/>
                        <w:rPr/>
                      </w:pPr>
                      <w:r>
                        <w:rPr/>
                      </w:r>
                    </w:p>
                  </w:txbxContent>
                </v:textbox>
                <w10:wrap type="none"/>
              </v:rect>
            </w:pict>
          </mc:Fallback>
        </mc:AlternateContent>
      </w:r>
    </w:p>
    <w:tbl>
      <w:tblPr>
        <w:tblW w:w="6940" w:type="dxa"/>
        <w:jc w:val="left"/>
        <w:tblInd w:w="0" w:type="dxa"/>
        <w:tblLayout w:type="fixed"/>
        <w:tblCellMar>
          <w:top w:w="28" w:type="dxa"/>
          <w:left w:w="28" w:type="dxa"/>
          <w:bottom w:w="28" w:type="dxa"/>
          <w:right w:w="28" w:type="dxa"/>
        </w:tblCellMar>
      </w:tblPr>
      <w:tblGrid>
        <w:gridCol w:w="2081"/>
        <w:gridCol w:w="1830"/>
        <w:gridCol w:w="1833"/>
        <w:gridCol w:w="350"/>
        <w:gridCol w:w="350"/>
        <w:gridCol w:w="496"/>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9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4" descr=""/>
                          <pic:cNvPicPr>
                            <a:picLocks noChangeAspect="1" noChangeArrowheads="1"/>
                          </pic:cNvPicPr>
                        </pic:nvPicPr>
                        <pic:blipFill>
                          <a:blip r:embed="rId45"/>
                          <a:stretch>
                            <a:fillRect/>
                          </a:stretch>
                        </pic:blipFill>
                        <pic:spPr bwMode="auto">
                          <a:xfrm>
                            <a:off x="0" y="0"/>
                            <a:ext cx="676275" cy="352425"/>
                          </a:xfrm>
                          <a:prstGeom prst="rect">
                            <a:avLst/>
                          </a:prstGeom>
                        </pic:spPr>
                      </pic:pic>
                    </a:graphicData>
                  </a:graphic>
                </wp:inline>
              </w:drawing>
            </w:r>
          </w:p>
        </w:tc>
      </w:tr>
      <w:tr>
        <w:trPr/>
        <w:tc>
          <w:tcPr>
            <w:tcW w:w="57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6"/>
        </w:rPr>
        <w:t>Funds From Operations (FFO):</w:t>
      </w:r>
      <w:r>
        <w:rPr>
          <w:color w:val="000000"/>
        </w:rPr>
        <w:t xml:space="preserve"> </w:t>
      </w:r>
      <w:r>
        <w:rPr>
          <w:rFonts w:ascii="Times New Roman;serif" w:hAnsi="Times New Roman;serif"/>
          <w:b w:val="false"/>
          <w:color w:val="000000"/>
          <w:sz w:val="16"/>
        </w:rPr>
        <w:t>FFO is a supplemental measure of real estate companies' operating performances. NAREIT defines FFO as follows: net income, computed in accordance with GAAP plus depreciation and amortization of real estate assets and excluding extraordinary items, gains and losses on sale of real estate and impairment losses.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Funds Available for Distribution (FAD):</w:t>
      </w:r>
      <w:r>
        <w:rPr>
          <w:color w:val="000000"/>
        </w:rPr>
        <w:t xml:space="preserve"> </w:t>
      </w:r>
      <w:r>
        <w:rPr>
          <w:rFonts w:ascii="Times New Roman;serif" w:hAnsi="Times New Roman;serif"/>
          <w:b w:val="false"/>
          <w:color w:val="000000"/>
          <w:sz w:val="16"/>
        </w:rPr>
        <w:t>FAD is a supplemental measure of our liquidity. We compute FAD by subtracting from FFO As Adjusted second generation tenant improvements and leasing commissions and recurring capital expenditures, eliminating the net effect of straight-line rents, amortization of above (below) market rents for acquisition properties, the effects of other lease intangibles, adding noncash amortization of deferred financing costs and debt fair value adjustments, adding noncash compensation expense, and adding (subtracting) unrealized losses (gains) on marketable securities. Recurring capital expenditures exclude spending related to repositioning initiatives at operating properties, such as building improvements intended to attract tenants and increase revenues and/or occupancy rates at properties designated for such initiatives, as well as planned capital expenditures identified at the time of acquisition, such as building improvements necessary to bring an acquired property to our operational standards, and tenant improvements and leasing commissions incurred prior to an acquired property reaching stabilization. FAD provides an additional perspective on our ability to fund cash needs and make distributions by adjusting FFO for the impact of certain cash and noncash items, as well as adjusting FFO for recurring capital expenditures and leasing costs. However, other REITs may use different methodologies for calculating FAD and, accordingly, our FAD may not be comparable to other REITs.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Net Operating Income (NOI):</w:t>
      </w:r>
      <w:r>
        <w:rPr>
          <w:color w:val="000000"/>
        </w:rPr>
        <w:t xml:space="preserve"> </w:t>
      </w:r>
      <w:r>
        <w:rPr>
          <w:rFonts w:ascii="Times New Roman;serif" w:hAnsi="Times New Roman;serif"/>
          <w:b w:val="false"/>
          <w:color w:val="000000"/>
          <w:sz w:val="16"/>
        </w:rPr>
        <w:t>We define NOI as operating revenues (rental income, tenant reimbursements, lease termination fees, ground lease rental income and other property income) less property and related expenses (property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other REITs. Since NOI excludes general and administrative expenses, interest expense, depreciation and amortization, acquisition-related expenses, other nonproperty income and losses, gains and losses from property dispositions, and extraordinary items, 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 However, NOI should not be viewed as an alternative measure of our financial performance since it does not reflect general and administrative expenses, interest expense, depreciation and amortization costs, other nonproperty income and losses, the level of capital expenditures and leasing costs necessary to maintain the operating performance of the properties, or trends in development and construction activities which are significant economic costs and activities that could materially impact our results from operations.</w:t>
      </w:r>
    </w:p>
    <w:tbl>
      <w:tblPr>
        <w:tblW w:w="10020" w:type="dxa"/>
        <w:jc w:val="left"/>
        <w:tblInd w:w="0" w:type="dxa"/>
        <w:tblLayout w:type="fixed"/>
        <w:tblCellMar>
          <w:top w:w="28" w:type="dxa"/>
          <w:left w:w="28" w:type="dxa"/>
          <w:bottom w:w="28" w:type="dxa"/>
          <w:right w:w="28" w:type="dxa"/>
        </w:tblCellMar>
      </w:tblPr>
      <w:tblGrid>
        <w:gridCol w:w="1813"/>
        <w:gridCol w:w="1597"/>
        <w:gridCol w:w="1600"/>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NOI to net income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restricted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unitholders in the Operating Partnership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American Assets Trust, Inc.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Overall Portfolio:</w:t>
      </w:r>
      <w:r>
        <w:rPr>
          <w:color w:val="000000"/>
        </w:rPr>
        <w:t xml:space="preserve"> </w:t>
      </w:r>
      <w:r>
        <w:rPr>
          <w:rFonts w:ascii="Times New Roman;serif" w:hAnsi="Times New Roman;serif"/>
          <w:b w:val="false"/>
          <w:color w:val="000000"/>
          <w:sz w:val="16"/>
        </w:rPr>
        <w:t>Includes all operating properties owned by us as of June 30, 2026.</w:t>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91845"/>
                <wp:effectExtent l="0" t="0" r="0" b="0"/>
                <wp:wrapNone/>
                <wp:docPr id="93" name="Frame49"/>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37</w:t>
                            </w:r>
                          </w:p>
                        </w:tc>
                      </w:tr>
                    </w:tbl>
                    <w:p>
                      <w:pPr>
                        <w:pStyle w:val="TextBody"/>
                        <w:bidi w:val="0"/>
                        <w:spacing w:before="0" w:after="0"/>
                        <w:jc w:val="left"/>
                        <w:rPr/>
                      </w:pPr>
                      <w:r>
                        <w:rPr/>
                      </w:r>
                    </w:p>
                  </w:txbxContent>
                </v:textbox>
                <w10:wrap type="none"/>
              </v:rect>
            </w:pict>
          </mc:Fallback>
        </mc:AlternateContent>
      </w:r>
    </w:p>
    <w:tbl>
      <w:tblPr>
        <w:tblW w:w="6940" w:type="dxa"/>
        <w:jc w:val="left"/>
        <w:tblInd w:w="0" w:type="dxa"/>
        <w:tblLayout w:type="fixed"/>
        <w:tblCellMar>
          <w:top w:w="28" w:type="dxa"/>
          <w:left w:w="28" w:type="dxa"/>
          <w:bottom w:w="28" w:type="dxa"/>
          <w:right w:w="28" w:type="dxa"/>
        </w:tblCellMar>
      </w:tblPr>
      <w:tblGrid>
        <w:gridCol w:w="2081"/>
        <w:gridCol w:w="1830"/>
        <w:gridCol w:w="1833"/>
        <w:gridCol w:w="350"/>
        <w:gridCol w:w="350"/>
        <w:gridCol w:w="496"/>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5" descr=""/>
                          <pic:cNvPicPr>
                            <a:picLocks noChangeAspect="1" noChangeArrowheads="1"/>
                          </pic:cNvPicPr>
                        </pic:nvPicPr>
                        <pic:blipFill>
                          <a:blip r:embed="rId46"/>
                          <a:stretch>
                            <a:fillRect/>
                          </a:stretch>
                        </pic:blipFill>
                        <pic:spPr bwMode="auto">
                          <a:xfrm>
                            <a:off x="0" y="0"/>
                            <a:ext cx="676275" cy="352425"/>
                          </a:xfrm>
                          <a:prstGeom prst="rect">
                            <a:avLst/>
                          </a:prstGeom>
                        </pic:spPr>
                      </pic:pic>
                    </a:graphicData>
                  </a:graphic>
                </wp:inline>
              </w:drawing>
            </w:r>
          </w:p>
        </w:tc>
      </w:tr>
      <w:tr>
        <w:trPr/>
        <w:tc>
          <w:tcPr>
            <w:tcW w:w="57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color w:val="000000"/>
          <w:sz w:val="16"/>
        </w:rPr>
        <w:t>Cash NOI:</w:t>
      </w:r>
      <w:r>
        <w:rPr>
          <w:color w:val="000000"/>
        </w:rPr>
        <w:t xml:space="preserve"> </w:t>
      </w:r>
      <w:r>
        <w:rPr>
          <w:rFonts w:ascii="Times New Roman;serif" w:hAnsi="Times New Roman;serif"/>
          <w:b w:val="false"/>
          <w:color w:val="000000"/>
          <w:sz w:val="16"/>
        </w:rPr>
        <w:t>We define cash NOI as operating revenues (rental income, tenant reimbursements (other than tenant improvement reimbursements), ground lease rental income and other property income) less property and 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our cash NOI may not be comparable to the cash NOIs of other REITs. We believe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We believe the exclusion of these items from net (loss)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 A Reconciliation of Total Cash NOI to Net Income is presented below:</w:t>
      </w:r>
    </w:p>
    <w:tbl>
      <w:tblPr>
        <w:tblW w:w="9555" w:type="dxa"/>
        <w:jc w:val="left"/>
        <w:tblInd w:w="0" w:type="dxa"/>
        <w:tblLayout w:type="fixed"/>
        <w:tblCellMar>
          <w:top w:w="28" w:type="dxa"/>
          <w:left w:w="28" w:type="dxa"/>
          <w:bottom w:w="28" w:type="dxa"/>
          <w:right w:w="28" w:type="dxa"/>
        </w:tblCellMar>
      </w:tblPr>
      <w:tblGrid>
        <w:gridCol w:w="1645"/>
        <w:gridCol w:w="1448"/>
        <w:gridCol w:w="1452"/>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Total Cash NOI to Net Income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NOI</w:t>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66,476 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66,171 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132,562 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133,133 </w:t>
            </w:r>
          </w:p>
        </w:tc>
        <w:tc>
          <w:tcPr>
            <w:tcW w:w="154"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termination fees and tenant improvement reimbursements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Non-cash revenue and other operating expenses </w:t>
            </w:r>
            <w:r>
              <w:rPr>
                <w:rFonts w:ascii="Times New Roman;serif" w:hAnsi="Times New Roman;serif"/>
                <w:b w:val="false"/>
                <w:color w:val="000000"/>
                <w:sz w:val="10"/>
              </w:rPr>
              <w:t>(1)</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(63,276)</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26,299 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25,978 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52,131 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97,950 </w:t>
            </w:r>
          </w:p>
        </w:tc>
        <w:tc>
          <w:tcPr>
            <w:tcW w:w="154"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91845"/>
                <wp:effectExtent l="0" t="0" r="0" b="0"/>
                <wp:wrapNone/>
                <wp:docPr id="95" name="Frame50"/>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38</w:t>
                            </w:r>
                          </w:p>
                        </w:tc>
                      </w:tr>
                    </w:tbl>
                    <w:p>
                      <w:pPr>
                        <w:pStyle w:val="TextBody"/>
                        <w:bidi w:val="0"/>
                        <w:spacing w:before="0" w:after="0"/>
                        <w:jc w:val="left"/>
                        <w:rPr/>
                      </w:pPr>
                      <w:r>
                        <w:rPr/>
                      </w:r>
                    </w:p>
                  </w:txbxContent>
                </v:textbox>
                <w10:wrap type="none"/>
              </v:rect>
            </w:pict>
          </mc:Fallback>
        </mc:AlternateContent>
      </w:r>
    </w:p>
    <w:tbl>
      <w:tblPr>
        <w:tblW w:w="6940" w:type="dxa"/>
        <w:jc w:val="left"/>
        <w:tblInd w:w="0" w:type="dxa"/>
        <w:tblLayout w:type="fixed"/>
        <w:tblCellMar>
          <w:top w:w="28" w:type="dxa"/>
          <w:left w:w="28" w:type="dxa"/>
          <w:bottom w:w="28" w:type="dxa"/>
          <w:right w:w="28" w:type="dxa"/>
        </w:tblCellMar>
      </w:tblPr>
      <w:tblGrid>
        <w:gridCol w:w="2081"/>
        <w:gridCol w:w="1830"/>
        <w:gridCol w:w="1833"/>
        <w:gridCol w:w="350"/>
        <w:gridCol w:w="350"/>
        <w:gridCol w:w="496"/>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9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6" descr=""/>
                          <pic:cNvPicPr>
                            <a:picLocks noChangeAspect="1" noChangeArrowheads="1"/>
                          </pic:cNvPicPr>
                        </pic:nvPicPr>
                        <pic:blipFill>
                          <a:blip r:embed="rId47"/>
                          <a:stretch>
                            <a:fillRect/>
                          </a:stretch>
                        </pic:blipFill>
                        <pic:spPr bwMode="auto">
                          <a:xfrm>
                            <a:off x="0" y="0"/>
                            <a:ext cx="676275" cy="352425"/>
                          </a:xfrm>
                          <a:prstGeom prst="rect">
                            <a:avLst/>
                          </a:prstGeom>
                        </pic:spPr>
                      </pic:pic>
                    </a:graphicData>
                  </a:graphic>
                </wp:inline>
              </w:drawing>
            </w:r>
          </w:p>
        </w:tc>
      </w:tr>
      <w:tr>
        <w:trPr/>
        <w:tc>
          <w:tcPr>
            <w:tcW w:w="57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Same-Store Portfolio and Non-Same-Store Portfolio:</w:t>
      </w:r>
      <w:r>
        <w:rPr>
          <w:color w:val="000000"/>
        </w:rPr>
        <w:t xml:space="preserve"> </w:t>
      </w:r>
      <w:r>
        <w:rPr>
          <w:rFonts w:ascii="Times New Roman;serif" w:hAnsi="Times New Roman;serif"/>
          <w:b w:val="false"/>
          <w:color w:val="000000"/>
          <w:sz w:val="16"/>
        </w:rPr>
        <w:t>Information provided on a same-store basis includes the results of properties that we owned and operated for the entirety of both periods being compared except for properties for which significant redevelopment or expansion occurred during either of the periods being compared, properties under development, properties classified as held for development and properties classified as discontinued operations. The following table shows the properties included in the same-store and non-same-store portfolio for the comparative periods presented. A reconciliation of Same-Store Cash NOI to Net Income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0"/>
        <w:gridCol w:w="1654"/>
        <w:gridCol w:w="165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188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Three Months Ended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Year Ended </w:t>
            </w:r>
            <w:r>
              <w:rPr>
                <w:rFonts w:ascii="Times New Roman;serif" w:hAnsi="Times New Roman;serif"/>
                <w:b/>
                <w:color w:val="000000"/>
                <w:sz w:val="10"/>
              </w:rPr>
              <w:t>(2)</w:t>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Same-Store Cash NOI Comparison to Operating Income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Same-Store Cash NOI</w:t>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66,501 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66,305 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132,925 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133,107 </w:t>
            </w:r>
          </w:p>
        </w:tc>
        <w:tc>
          <w:tcPr>
            <w:tcW w:w="156"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Non-Same-Store Cash NOI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NOI</w:t>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66,476 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66,171 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132,562 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133,133 </w:t>
            </w:r>
          </w:p>
        </w:tc>
        <w:tc>
          <w:tcPr>
            <w:tcW w:w="156"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Lease termination fees and tenant improvement reimbursements </w:t>
            </w:r>
            <w:r>
              <w:rPr>
                <w:rFonts w:ascii="Times New Roman;serif" w:hAnsi="Times New Roman;serif"/>
                <w:b w:val="false"/>
                <w:color w:val="000000"/>
                <w:sz w:val="10"/>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Non-cash revenue and other operating expenses </w:t>
            </w:r>
            <w:r>
              <w:rPr>
                <w:rFonts w:ascii="Times New Roman;serif" w:hAnsi="Times New Roman;serif"/>
                <w:b w:val="false"/>
                <w:color w:val="000000"/>
                <w:sz w:val="10"/>
              </w:rPr>
              <w:t>(4)</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(63,276)</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26,299 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25,978 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52,131 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97,950 </w:t>
            </w:r>
          </w:p>
        </w:tc>
        <w:tc>
          <w:tcPr>
            <w:tcW w:w="156"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For the three months ended June 30, 2026, the same-store portfolio includes: (i) Genesee Park (multifamily), which was acquired on February 28, 2025, and (ii) La Jolla Commons III (office), which was placed into service on April 1, 2025. The same-store portfolio excludes land held for development. </w:t>
      </w:r>
    </w:p>
    <w:p>
      <w:pPr>
        <w:pStyle w:val="TextBody"/>
        <w:bidi w:val="0"/>
        <w:spacing w:lineRule="auto" w:line="288" w:before="0" w:after="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For the six months ended June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Lease termination fees and tenant improvement reimbursements are excluded from same-store cash NOI to provide a more accurate measure of operating performance.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91845"/>
                <wp:effectExtent l="0" t="0" r="0" b="0"/>
                <wp:wrapNone/>
                <wp:docPr id="97" name="Frame51"/>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39</w:t>
                            </w:r>
                          </w:p>
                        </w:tc>
                      </w:tr>
                    </w:tbl>
                    <w:p>
                      <w:pPr>
                        <w:pStyle w:val="TextBody"/>
                        <w:bidi w:val="0"/>
                        <w:spacing w:before="0" w:after="0"/>
                        <w:jc w:val="left"/>
                        <w:rPr/>
                      </w:pPr>
                      <w:r>
                        <w:rPr/>
                      </w:r>
                    </w:p>
                  </w:txbxContent>
                </v:textbox>
                <w10:wrap type="none"/>
              </v:rect>
            </w:pict>
          </mc:Fallback>
        </mc:AlternateContent>
      </w:r>
    </w:p>
    <w:tbl>
      <w:tblPr>
        <w:tblW w:w="6940" w:type="dxa"/>
        <w:jc w:val="left"/>
        <w:tblInd w:w="0" w:type="dxa"/>
        <w:tblLayout w:type="fixed"/>
        <w:tblCellMar>
          <w:top w:w="28" w:type="dxa"/>
          <w:left w:w="28" w:type="dxa"/>
          <w:bottom w:w="28" w:type="dxa"/>
          <w:right w:w="28" w:type="dxa"/>
        </w:tblCellMar>
      </w:tblPr>
      <w:tblGrid>
        <w:gridCol w:w="2081"/>
        <w:gridCol w:w="1830"/>
        <w:gridCol w:w="1833"/>
        <w:gridCol w:w="350"/>
        <w:gridCol w:w="350"/>
        <w:gridCol w:w="496"/>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9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7" descr=""/>
                          <pic:cNvPicPr>
                            <a:picLocks noChangeAspect="1" noChangeArrowheads="1"/>
                          </pic:cNvPicPr>
                        </pic:nvPicPr>
                        <pic:blipFill>
                          <a:blip r:embed="rId48"/>
                          <a:stretch>
                            <a:fillRect/>
                          </a:stretch>
                        </pic:blipFill>
                        <pic:spPr bwMode="auto">
                          <a:xfrm>
                            <a:off x="0" y="0"/>
                            <a:ext cx="676275" cy="352425"/>
                          </a:xfrm>
                          <a:prstGeom prst="rect">
                            <a:avLst/>
                          </a:prstGeom>
                        </pic:spPr>
                      </pic:pic>
                    </a:graphicData>
                  </a:graphic>
                </wp:inline>
              </w:drawing>
            </w:r>
          </w:p>
        </w:tc>
      </w:tr>
      <w:tr>
        <w:trPr/>
        <w:tc>
          <w:tcPr>
            <w:tcW w:w="57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9"/>
        <w:gridCol w:w="1222"/>
        <w:gridCol w:w="1229"/>
        <w:gridCol w:w="315"/>
        <w:gridCol w:w="315"/>
        <w:gridCol w:w="316"/>
        <w:gridCol w:w="248"/>
        <w:gridCol w:w="248"/>
        <w:gridCol w:w="248"/>
        <w:gridCol w:w="434"/>
        <w:gridCol w:w="434"/>
        <w:gridCol w:w="438"/>
        <w:gridCol w:w="109"/>
        <w:gridCol w:w="109"/>
        <w:gridCol w:w="109"/>
        <w:gridCol w:w="315"/>
        <w:gridCol w:w="315"/>
        <w:gridCol w:w="316"/>
        <w:gridCol w:w="227"/>
        <w:gridCol w:w="227"/>
        <w:gridCol w:w="227"/>
        <w:gridCol w:w="395"/>
        <w:gridCol w:w="395"/>
        <w:gridCol w:w="565"/>
      </w:tblGrid>
      <w:tr>
        <w:trPr/>
        <w:tc>
          <w:tcPr>
            <w:tcW w:w="144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Comparison of 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Comparison of Six Months Ended </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 to 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Non-Same-Store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Non-Same-Store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Office Properties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La Jolla Commons </w:t>
            </w:r>
            <w:r>
              <w:rPr>
                <w:rFonts w:ascii="Times New Roman;serif" w:hAnsi="Times New Roman;serif"/>
                <w:b w:val="false"/>
                <w:color w:val="000000"/>
                <w:sz w:val="10"/>
              </w:rPr>
              <w:t>(1)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Coastal Collection at Torrey Reserve (formerly Torrey Reserve Campus)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Torrey Point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Crossing</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Landmark at One Market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One Beach Street </w:t>
            </w:r>
            <w:r>
              <w:rPr>
                <w:rFonts w:ascii="Times New Roman;serif" w:hAnsi="Times New Roman;serif"/>
                <w:b w:val="false"/>
                <w:color w:val="000000"/>
                <w:sz w:val="10"/>
              </w:rPr>
              <w:t>(2)</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&amp; Main</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Lloyd Portfolio</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Center Bellevue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14Acres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Timber Ridge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Timber Springs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Retail Properties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Carmel Country Plaza</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Carmel Mountain Plaza</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Bay Marketplace</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Gateway Marketplace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Lomas Santa Fe Plaza</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Beach Towne Centre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Geary Marketplace</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Shops at Kalakaua</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Waikele Center</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Alamo Quarry Market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Hassalo on Eighth - Retail</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Multifamily Properties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Loma Palisades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Imperial Beach Gardens</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Mariner's Point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 Fe Park RV Resort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 Ridge Apartments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Genesee Park </w:t>
            </w:r>
            <w:r>
              <w:rPr>
                <w:rFonts w:ascii="Times New Roman;serif" w:hAnsi="Times New Roman;serif"/>
                <w:b w:val="false"/>
                <w:color w:val="000000"/>
                <w:sz w:val="10"/>
              </w:rPr>
              <w:t>(3)</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Hassalo on Eighth</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Mixed-Use Properties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Waikiki Beach Walk - Retail</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Waikiki Beach Walk - Embassy Suites™</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Development Properties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Solana Crossing - Land</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Lloyd Portfolio - Land </w:t>
            </w:r>
            <w:r>
              <w:rPr>
                <w:rFonts w:ascii="Times New Roman;serif" w:hAnsi="Times New Roman;serif"/>
                <w:b w:val="false"/>
                <w:color w:val="000000"/>
                <w:sz w:val="10"/>
              </w:rPr>
              <w:t>(2)</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before="0" w:after="0"/>
        <w:ind w:left="0" w:right="0" w:hanging="360"/>
        <w:jc w:val="left"/>
        <w:rPr/>
      </w:pPr>
      <w:r>
        <w:rPr/>
      </w:r>
    </w:p>
    <w:p>
      <w:pPr>
        <w:pStyle w:val="TextBody"/>
        <w:bidi w:val="0"/>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91845"/>
                <wp:effectExtent l="0" t="0" r="0" b="0"/>
                <wp:wrapNone/>
                <wp:docPr id="99" name="Frame52"/>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40</w:t>
                            </w:r>
                          </w:p>
                        </w:tc>
                      </w:tr>
                    </w:tbl>
                    <w:p>
                      <w:pPr>
                        <w:pStyle w:val="TextBody"/>
                        <w:bidi w:val="0"/>
                        <w:spacing w:before="0" w:after="0"/>
                        <w:jc w:val="left"/>
                        <w:rPr/>
                      </w:pPr>
                      <w:r>
                        <w:rPr/>
                      </w:r>
                    </w:p>
                  </w:txbxContent>
                </v:textbox>
                <w10:wrap type="none"/>
              </v:rect>
            </w:pict>
          </mc:Fallback>
        </mc:AlternateContent>
      </w:r>
    </w:p>
    <w:tbl>
      <w:tblPr>
        <w:tblW w:w="6940" w:type="dxa"/>
        <w:jc w:val="left"/>
        <w:tblInd w:w="0" w:type="dxa"/>
        <w:tblLayout w:type="fixed"/>
        <w:tblCellMar>
          <w:top w:w="28" w:type="dxa"/>
          <w:left w:w="28" w:type="dxa"/>
          <w:bottom w:w="28" w:type="dxa"/>
          <w:right w:w="28" w:type="dxa"/>
        </w:tblCellMar>
      </w:tblPr>
      <w:tblGrid>
        <w:gridCol w:w="2081"/>
        <w:gridCol w:w="1830"/>
        <w:gridCol w:w="1833"/>
        <w:gridCol w:w="350"/>
        <w:gridCol w:w="350"/>
        <w:gridCol w:w="496"/>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3366"/>
                <w:sz w:val="32"/>
              </w:rPr>
            </w:pPr>
            <w:r>
              <w:rPr>
                <w:rFonts w:ascii="Times New Roman;serif" w:hAnsi="Times New Roman;serif"/>
                <w:b/>
                <w:color w:val="003366"/>
                <w:sz w:val="32"/>
              </w:rPr>
              <w:t>GLOSSARY OF TERMS (CONTINUED)</w:t>
            </w:r>
          </w:p>
        </w:tc>
        <w:tc>
          <w:tcPr>
            <w:tcW w:w="11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76275" cy="352425"/>
                  <wp:effectExtent l="0" t="0" r="0" b="0"/>
                  <wp:docPr id="10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8" descr=""/>
                          <pic:cNvPicPr>
                            <a:picLocks noChangeAspect="1" noChangeArrowheads="1"/>
                          </pic:cNvPicPr>
                        </pic:nvPicPr>
                        <pic:blipFill>
                          <a:blip r:embed="rId49"/>
                          <a:stretch>
                            <a:fillRect/>
                          </a:stretch>
                        </pic:blipFill>
                        <pic:spPr bwMode="auto">
                          <a:xfrm>
                            <a:off x="0" y="0"/>
                            <a:ext cx="676275" cy="352425"/>
                          </a:xfrm>
                          <a:prstGeom prst="rect">
                            <a:avLst/>
                          </a:prstGeom>
                        </pic:spPr>
                      </pic:pic>
                    </a:graphicData>
                  </a:graphic>
                </wp:inline>
              </w:drawing>
            </w:r>
          </w:p>
        </w:tc>
      </w:tr>
      <w:tr>
        <w:trPr/>
        <w:tc>
          <w:tcPr>
            <w:tcW w:w="5744"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16" w:space="0" w:color="0033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     La Jolla Commons Tower III is considered same-store for the three months ended June 30, 2026</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non-same-store for the six months ended June 30, 2026</w:t>
      </w:r>
      <w:r>
        <w:rPr>
          <w:rFonts w:ascii="Times New Roman;serif" w:hAnsi="Times New Roman;serif"/>
          <w:b w:val="false"/>
          <w:color w:val="000000"/>
          <w:sz w:val="20"/>
        </w:rPr>
        <w:t xml:space="preserve">, </w:t>
      </w:r>
      <w:r>
        <w:rPr>
          <w:rFonts w:ascii="Times New Roman;serif" w:hAnsi="Times New Roman;serif"/>
          <w:b w:val="false"/>
          <w:color w:val="000000"/>
          <w:sz w:val="16"/>
        </w:rPr>
        <w:t>as it was placed into service on April 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One Beach Street and Lloyd Portfolio - Land were previously included as redevelopment property. One Beach Street is considered same-store for the three and six months ended June 30, 2026 as it was placed into operations on August 1, 2024. Lloyd Portfolio - Land is not leased and has no active redevelopment activity; as such it is included within the non-same-store portfolio.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Genesee Park is considered same-store for the three months ended June 30, 2026 and non-same-store for the six months ended June 30, 2026, since it was acquired on February 28,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Tenant Improvements and Incentives:</w:t>
      </w:r>
      <w:r>
        <w:rPr>
          <w:color w:val="000000"/>
        </w:rPr>
        <w:t xml:space="preserve"> </w:t>
      </w:r>
      <w:r>
        <w:rPr>
          <w:rFonts w:ascii="Times New Roman;serif" w:hAnsi="Times New Roman;serif"/>
          <w:b w:val="false"/>
          <w:color w:val="000000"/>
          <w:sz w:val="16"/>
        </w:rPr>
        <w:t>Represents not only the total dollars committed for the improvement (fit-out) of a space as it relates to a specific lease but may also include base building costs (i.e., expansion, escalators, new entrances, etc.) which are required to make the space leasable. Incentives include amounts paid to tenants as an inducement to sign a lease that do not represent building improvements.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91845"/>
                <wp:effectExtent l="0" t="0" r="0" b="0"/>
                <wp:wrapNone/>
                <wp:docPr id="101" name="Frame53"/>
                <a:graphic xmlns:a="http://schemas.openxmlformats.org/drawingml/2006/main">
                  <a:graphicData uri="http://schemas.microsoft.com/office/word/2010/wordprocessingShape">
                    <wps:wsp>
                      <wps:cNvSpPr txBox="1"/>
                      <wps:spPr>
                        <a:xfrm>
                          <a:off x="0" y="0"/>
                          <a:ext cx="6480175" cy="791845"/>
                        </a:xfrm>
                        <a:prstGeom prst="rect"/>
                        <a:solidFill>
                          <a:srgbClr val="FFFFFF"/>
                        </a:solidFill>
                      </wps:spPr>
                      <wps:txb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r>
                                    <w:br w:type="page"/>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35pt;mso-wrap-distance-left:0pt;mso-wrap-distance-right:0pt;mso-wrap-distance-top:0pt;mso-wrap-distance-bottom:0pt;margin-top:0pt;mso-position-vertical:top;mso-position-vertical-relative:text;margin-left:0pt;mso-position-horizontal:left;mso-position-horizontal-relative:text">
                <v:textbox>
                  <w:txbxContent>
                    <w:tbl>
                      <w:tblPr>
                        <w:tblW w:w="4800" w:type="dxa"/>
                        <w:jc w:val="left"/>
                        <w:tblInd w:w="0" w:type="dxa"/>
                        <w:tblLayout w:type="fixed"/>
                        <w:tblCellMar>
                          <w:top w:w="28" w:type="dxa"/>
                          <w:left w:w="28" w:type="dxa"/>
                          <w:bottom w:w="28" w:type="dxa"/>
                          <w:right w:w="28" w:type="dxa"/>
                        </w:tblCellMar>
                      </w:tblPr>
                      <w:tblGrid>
                        <w:gridCol w:w="1450"/>
                        <w:gridCol w:w="1276"/>
                        <w:gridCol w:w="1279"/>
                        <w:gridCol w:w="232"/>
                        <w:gridCol w:w="232"/>
                        <w:gridCol w:w="331"/>
                      </w:tblGrid>
                      <w:tr>
                        <w:trPr/>
                        <w:tc>
                          <w:tcPr>
                            <w:tcW w:w="145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3366"/>
                                <w:sz w:val="20"/>
                              </w:rPr>
                            </w:pPr>
                            <w:r>
                              <w:rPr>
                                <w:rFonts w:ascii="Times New Roman;serif" w:hAnsi="Times New Roman;serif"/>
                                <w:b w:val="false"/>
                                <w:color w:val="003366"/>
                                <w:sz w:val="20"/>
                              </w:rPr>
                              <w:t>Second Quarter 2026 Supplemental Information</w:t>
                            </w:r>
                          </w:p>
                        </w:tc>
                        <w:tc>
                          <w:tcPr>
                            <w:tcW w:w="795" w:type="dxa"/>
                            <w:gridSpan w:val="3"/>
                            <w:tcBorders>
                              <w:top w:val="single" w:sz="8" w:space="0" w:color="003366"/>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3366"/>
                                <w:sz w:val="20"/>
                              </w:rPr>
                            </w:pPr>
                            <w:r>
                              <w:rPr>
                                <w:rFonts w:ascii="Times New Roman;serif" w:hAnsi="Times New Roman;serif"/>
                                <w:b w:val="false"/>
                                <w:color w:val="003366"/>
                                <w:sz w:val="20"/>
                              </w:rPr>
                              <w:t>Page 41</w:t>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6.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18661</Words>
  <Characters>101161</Characters>
  <CharactersWithSpaces>117424</CharactersWithSpaces>
  <Paragraphs>5114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