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October 27, 2026</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33020</wp:posOffset>
            </wp:positionV>
            <wp:extent cx="1306830" cy="675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6830" cy="675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8"/>
          <w:szCs w:val="38"/>
          <w:b w:val="1"/>
          <w:bCs w:val="1"/>
          <w:color w:val="auto"/>
        </w:rPr>
        <w:t>American Assets Trust, Inc.</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_________________________</w:t>
      </w:r>
    </w:p>
    <w:p>
      <w:pPr>
        <w:spacing w:after="0" w:line="47"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214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001-35030</w:t>
            </w:r>
          </w:p>
        </w:tc>
        <w:tc>
          <w:tcPr>
            <w:tcW w:w="176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27-3338708</w:t>
            </w:r>
          </w:p>
        </w:tc>
      </w:tr>
      <w:tr>
        <w:trPr>
          <w:trHeight w:val="159"/>
        </w:trPr>
        <w:tc>
          <w:tcPr>
            <w:tcW w:w="2140" w:type="dxa"/>
            <w:vAlign w:val="bottom"/>
          </w:tcPr>
          <w:p>
            <w:pPr>
              <w:jc w:val="center"/>
              <w:ind w:right="449"/>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68"/>
              <w:spacing w:after="0" w:line="15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29"/>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14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6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0"/>
        </w:trPr>
        <w:tc>
          <w:tcPr>
            <w:tcW w:w="2140" w:type="dxa"/>
            <w:vAlign w:val="bottom"/>
          </w:tcPr>
          <w:p>
            <w:pPr>
              <w:spacing w:after="0"/>
              <w:rPr>
                <w:sz w:val="24"/>
                <w:szCs w:val="24"/>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3420 Carmel Mountain Road, Suite 100</w:t>
            </w:r>
          </w:p>
        </w:tc>
        <w:tc>
          <w:tcPr>
            <w:tcW w:w="1760" w:type="dxa"/>
            <w:vAlign w:val="bottom"/>
          </w:tcPr>
          <w:p>
            <w:pPr>
              <w:spacing w:after="0"/>
              <w:rPr>
                <w:sz w:val="24"/>
                <w:szCs w:val="24"/>
                <w:color w:val="auto"/>
              </w:rPr>
            </w:pPr>
          </w:p>
        </w:tc>
      </w:tr>
      <w:tr>
        <w:trPr>
          <w:trHeight w:val="166"/>
        </w:trPr>
        <w:tc>
          <w:tcPr>
            <w:tcW w:w="2140" w:type="dxa"/>
            <w:vAlign w:val="bottom"/>
          </w:tcPr>
          <w:p>
            <w:pPr>
              <w:spacing w:after="0"/>
              <w:rPr>
                <w:sz w:val="14"/>
                <w:szCs w:val="14"/>
                <w:color w:val="auto"/>
              </w:rPr>
            </w:pP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San Diego, California 92121</w:t>
            </w:r>
          </w:p>
        </w:tc>
        <w:tc>
          <w:tcPr>
            <w:tcW w:w="1760" w:type="dxa"/>
            <w:vAlign w:val="bottom"/>
          </w:tcPr>
          <w:p>
            <w:pPr>
              <w:spacing w:after="0"/>
              <w:rPr>
                <w:sz w:val="14"/>
                <w:szCs w:val="1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60" w:type="dxa"/>
            <w:vAlign w:val="bottom"/>
          </w:tcPr>
          <w:p>
            <w:pPr>
              <w:spacing w:after="0"/>
              <w:rPr>
                <w:sz w:val="16"/>
                <w:szCs w:val="16"/>
                <w:color w:val="auto"/>
              </w:rPr>
            </w:pPr>
          </w:p>
        </w:tc>
      </w:tr>
      <w:tr>
        <w:trPr>
          <w:trHeight w:val="393"/>
        </w:trPr>
        <w:tc>
          <w:tcPr>
            <w:tcW w:w="2140" w:type="dxa"/>
            <w:vAlign w:val="bottom"/>
          </w:tcPr>
          <w:p>
            <w:pPr>
              <w:spacing w:after="0"/>
              <w:rPr>
                <w:sz w:val="24"/>
                <w:szCs w:val="24"/>
                <w:color w:val="auto"/>
              </w:rPr>
            </w:pPr>
          </w:p>
        </w:tc>
        <w:tc>
          <w:tcPr>
            <w:tcW w:w="4980" w:type="dxa"/>
            <w:vAlign w:val="bottom"/>
          </w:tcPr>
          <w:p>
            <w:pPr>
              <w:jc w:val="right"/>
              <w:ind w:right="1988"/>
              <w:spacing w:after="0"/>
              <w:rPr>
                <w:sz w:val="20"/>
                <w:szCs w:val="20"/>
                <w:color w:val="auto"/>
              </w:rPr>
            </w:pPr>
            <w:r>
              <w:rPr>
                <w:rFonts w:ascii="Times New Roman" w:cs="Times New Roman" w:eastAsia="Times New Roman" w:hAnsi="Times New Roman"/>
                <w:sz w:val="16"/>
                <w:szCs w:val="16"/>
                <w:b w:val="1"/>
                <w:bCs w:val="1"/>
                <w:color w:val="auto"/>
              </w:rPr>
              <w:t>(858) 350-2600</w:t>
            </w:r>
          </w:p>
        </w:tc>
        <w:tc>
          <w:tcPr>
            <w:tcW w:w="176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358"/>
        </w:trPr>
        <w:tc>
          <w:tcPr>
            <w:tcW w:w="2140" w:type="dxa"/>
            <w:vAlign w:val="bottom"/>
          </w:tcPr>
          <w:p>
            <w:pPr>
              <w:spacing w:after="0"/>
              <w:rPr>
                <w:sz w:val="24"/>
                <w:szCs w:val="24"/>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76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r>
        <w:trPr>
          <w:trHeight w:val="408"/>
        </w:trPr>
        <w:tc>
          <w:tcPr>
            <w:tcW w:w="2140" w:type="dxa"/>
            <w:vAlign w:val="bottom"/>
          </w:tcPr>
          <w:p>
            <w:pPr>
              <w:spacing w:after="0"/>
              <w:rPr>
                <w:sz w:val="24"/>
                <w:szCs w:val="24"/>
                <w:color w:val="auto"/>
              </w:rPr>
            </w:pPr>
          </w:p>
        </w:tc>
        <w:tc>
          <w:tcPr>
            <w:tcW w:w="4980" w:type="dxa"/>
            <w:vAlign w:val="bottom"/>
          </w:tcPr>
          <w:p>
            <w:pPr>
              <w:jc w:val="right"/>
              <w:ind w:right="1508"/>
              <w:spacing w:after="0"/>
              <w:rPr>
                <w:sz w:val="20"/>
                <w:szCs w:val="20"/>
                <w:color w:val="auto"/>
              </w:rPr>
            </w:pPr>
            <w:r>
              <w:rPr>
                <w:rFonts w:ascii="Times New Roman" w:cs="Times New Roman" w:eastAsia="Times New Roman" w:hAnsi="Times New Roman"/>
                <w:sz w:val="16"/>
                <w:szCs w:val="16"/>
                <w:b w:val="1"/>
                <w:bCs w:val="1"/>
                <w:color w:val="auto"/>
              </w:rPr>
              <w:t>_________________________</w:t>
            </w:r>
          </w:p>
        </w:tc>
        <w:tc>
          <w:tcPr>
            <w:tcW w:w="1760" w:type="dxa"/>
            <w:vAlign w:val="bottom"/>
          </w:tcPr>
          <w:p>
            <w:pPr>
              <w:spacing w:after="0"/>
              <w:rPr>
                <w:sz w:val="24"/>
                <w:szCs w:val="24"/>
                <w:color w:val="auto"/>
              </w:rPr>
            </w:pP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68"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60"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60" w:lineRule="exact"/>
        <w:rPr>
          <w:rFonts w:ascii="MS PGothic" w:cs="MS PGothic" w:eastAsia="MS PGothic" w:hAnsi="MS PGothic"/>
          <w:sz w:val="19"/>
          <w:szCs w:val="19"/>
          <w:color w:val="auto"/>
        </w:rPr>
      </w:pPr>
    </w:p>
    <w:p>
      <w:pPr>
        <w:ind w:left="460" w:hanging="450"/>
        <w:spacing w:after="0" w:line="228" w:lineRule="auto"/>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54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Registrant</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2"/>
          </w:tcPr>
          <w:p>
            <w:pPr>
              <w:jc w:val="center"/>
              <w:ind w:right="158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7"/>
              </w:rPr>
              <w:t>Trading Symbol</w:t>
            </w:r>
          </w:p>
        </w:tc>
        <w:tc>
          <w:tcPr>
            <w:tcW w:w="3080" w:type="dxa"/>
            <w:vAlign w:val="bottom"/>
            <w:gridSpan w:val="2"/>
          </w:tcPr>
          <w:p>
            <w:pPr>
              <w:jc w:val="center"/>
              <w:ind w:left="20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
        </w:trPr>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29"/>
        </w:trPr>
        <w:tc>
          <w:tcPr>
            <w:tcW w:w="22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color w:val="auto"/>
                <w:w w:val="98"/>
              </w:rPr>
              <w:t>American Assets Trust, Inc.</w:t>
            </w:r>
          </w:p>
        </w:tc>
        <w:tc>
          <w:tcPr>
            <w:tcW w:w="39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1"/>
              </w:rPr>
              <w:t>AAT</w:t>
            </w:r>
          </w:p>
        </w:tc>
        <w:tc>
          <w:tcPr>
            <w:tcW w:w="28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338"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988695</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1335" w:right="479" w:bottom="1440" w:gutter="0" w:footer="0" w:header="0"/>
        </w:sectPr>
      </w:pPr>
    </w:p>
    <w:bookmarkStart w:id="1" w:name="page2"/>
    <w:bookmarkEnd w:id="1"/>
    <w:p>
      <w:pPr>
        <w:ind w:left="5"/>
        <w:spacing w:after="0"/>
        <w:tabs>
          <w:tab w:leader="none" w:pos="765"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220" w:lineRule="exact"/>
        <w:rPr>
          <w:sz w:val="20"/>
          <w:szCs w:val="20"/>
          <w:color w:val="auto"/>
        </w:rPr>
      </w:pPr>
    </w:p>
    <w:p>
      <w:pPr>
        <w:ind w:left="5" w:right="20"/>
        <w:spacing w:after="0" w:line="256" w:lineRule="auto"/>
        <w:rPr>
          <w:sz w:val="20"/>
          <w:szCs w:val="20"/>
          <w:color w:val="auto"/>
        </w:rPr>
      </w:pPr>
      <w:r>
        <w:rPr>
          <w:rFonts w:ascii="Times New Roman" w:cs="Times New Roman" w:eastAsia="Times New Roman" w:hAnsi="Times New Roman"/>
          <w:sz w:val="16"/>
          <w:szCs w:val="16"/>
          <w:color w:val="auto"/>
        </w:rPr>
        <w:t xml:space="preserve">On October 27, 2026, American Assets Trust, Inc. (the “Company”) issued a press release regarding its financial results for the quarter ending September 30, 2026. Also on October 27, 2026, the Company made available on the “Investors” page of its website at </w:t>
      </w:r>
      <w:r>
        <w:rPr>
          <w:rFonts w:ascii="Times New Roman" w:cs="Times New Roman" w:eastAsia="Times New Roman" w:hAnsi="Times New Roman"/>
          <w:sz w:val="16"/>
          <w:szCs w:val="16"/>
          <w:u w:val="single" w:color="auto"/>
          <w:color w:val="0000FF"/>
        </w:rPr>
        <w:t>www.americanassetstrust.com</w:t>
      </w:r>
      <w:r>
        <w:rPr>
          <w:rFonts w:ascii="Times New Roman" w:cs="Times New Roman" w:eastAsia="Times New Roman" w:hAnsi="Times New Roman"/>
          <w:sz w:val="16"/>
          <w:szCs w:val="16"/>
          <w:color w:val="auto"/>
        </w:rPr>
        <w:t xml:space="preserve"> certain supplemental information concerning the Company’s financial results and operations for the quarter ending September 30, 2026. Copies of the press release and supplemental information are attached hereto as Exhibits 99.1 and 99.2, respectively.</w:t>
      </w:r>
    </w:p>
    <w:p>
      <w:pPr>
        <w:spacing w:after="0" w:line="185" w:lineRule="exact"/>
        <w:rPr>
          <w:sz w:val="20"/>
          <w:szCs w:val="20"/>
          <w:color w:val="auto"/>
        </w:rPr>
      </w:pPr>
    </w:p>
    <w:p>
      <w:pPr>
        <w:ind w:left="5" w:right="20"/>
        <w:spacing w:after="0" w:line="261" w:lineRule="auto"/>
        <w:rPr>
          <w:sz w:val="20"/>
          <w:szCs w:val="20"/>
          <w:color w:val="auto"/>
        </w:rPr>
      </w:pPr>
      <w:r>
        <w:rPr>
          <w:rFonts w:ascii="Times New Roman" w:cs="Times New Roman" w:eastAsia="Times New Roman" w:hAnsi="Times New Roman"/>
          <w:sz w:val="16"/>
          <w:szCs w:val="16"/>
          <w:color w:val="auto"/>
        </w:rPr>
        <w:t>Exhibits 99.1 and 99.2, are being furnished pursuant to Item 2.02 and shall not be deemed “filed” for any purpose, including for the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78" w:lineRule="exact"/>
        <w:rPr>
          <w:sz w:val="20"/>
          <w:szCs w:val="20"/>
          <w:color w:val="auto"/>
        </w:rPr>
      </w:pPr>
    </w:p>
    <w:p>
      <w:pPr>
        <w:ind w:left="5"/>
        <w:spacing w:after="0"/>
        <w:tabs>
          <w:tab w:leader="none" w:pos="765"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20"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As discussed in Item 2.02 above, the Company issued a press release regarding its financial results for the quarter ending September 30, 2026 and made available on its website certain supplemental information relating thereto.</w:t>
      </w:r>
    </w:p>
    <w:p>
      <w:pPr>
        <w:spacing w:after="0" w:line="168" w:lineRule="exact"/>
        <w:rPr>
          <w:sz w:val="20"/>
          <w:szCs w:val="20"/>
          <w:color w:val="auto"/>
        </w:rPr>
      </w:pPr>
    </w:p>
    <w:p>
      <w:pPr>
        <w:ind w:left="5" w:right="40"/>
        <w:spacing w:after="0" w:line="261" w:lineRule="auto"/>
        <w:rPr>
          <w:sz w:val="20"/>
          <w:szCs w:val="20"/>
          <w:color w:val="auto"/>
        </w:rPr>
      </w:pPr>
      <w:r>
        <w:rPr>
          <w:rFonts w:ascii="Times New Roman" w:cs="Times New Roman" w:eastAsia="Times New Roman" w:hAnsi="Times New Roman"/>
          <w:sz w:val="16"/>
          <w:szCs w:val="16"/>
          <w:color w:val="auto"/>
        </w:rPr>
        <w:t>The information being furnished pursuant to Item 7.01 and shall not be deemed “filed” for any purpose, including for the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91" w:lineRule="exact"/>
        <w:rPr>
          <w:sz w:val="20"/>
          <w:szCs w:val="20"/>
          <w:color w:val="auto"/>
        </w:rPr>
      </w:pPr>
    </w:p>
    <w:p>
      <w:pPr>
        <w:ind w:left="5"/>
        <w:spacing w:after="0"/>
        <w:tabs>
          <w:tab w:leader="none" w:pos="765"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49" w:lineRule="exact"/>
        <w:rPr>
          <w:sz w:val="20"/>
          <w:szCs w:val="20"/>
          <w:color w:val="auto"/>
        </w:rPr>
      </w:pPr>
    </w:p>
    <w:p>
      <w:pPr>
        <w:ind w:left="5"/>
        <w:spacing w:after="0"/>
        <w:tabs>
          <w:tab w:leader="none" w:pos="325"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5"/>
          <w:szCs w:val="15"/>
          <w:color w:val="auto"/>
        </w:rPr>
        <w:t>Exhibits:</w:t>
      </w:r>
    </w:p>
    <w:p>
      <w:pPr>
        <w:spacing w:after="0" w:line="14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The following exhibits are filed herewith:</w:t>
      </w:r>
    </w:p>
    <w:p>
      <w:pPr>
        <w:spacing w:after="0" w:line="18" w:lineRule="exact"/>
        <w:rPr>
          <w:sz w:val="20"/>
          <w:szCs w:val="20"/>
          <w:color w:val="auto"/>
        </w:rPr>
      </w:pPr>
    </w:p>
    <w:tbl>
      <w:tblPr>
        <w:tblLayout w:type="fixed"/>
        <w:tblInd w:w="585" w:type="dxa"/>
        <w:tblCellMar>
          <w:top w:w="0" w:type="dxa"/>
          <w:left w:w="0" w:type="dxa"/>
          <w:bottom w:w="0" w:type="dxa"/>
          <w:right w:w="0" w:type="dxa"/>
        </w:tblCellMar>
      </w:tblPr>
      <w:tr>
        <w:trPr>
          <w:trHeight w:val="169"/>
        </w:trPr>
        <w:tc>
          <w:tcPr>
            <w:tcW w:w="10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Exhibit Number</w:t>
            </w:r>
          </w:p>
        </w:tc>
        <w:tc>
          <w:tcPr>
            <w:tcW w:w="61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24"/>
        </w:trPr>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5"/>
        </w:trPr>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200" w:type="dxa"/>
            <w:vAlign w:val="bottom"/>
          </w:tcPr>
          <w:p>
            <w:pPr>
              <w:spacing w:after="0"/>
              <w:rPr>
                <w:sz w:val="24"/>
                <w:szCs w:val="24"/>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Press release issued by American Assets Trust, Inc. on October 27, 2026.</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200" w:type="dxa"/>
            <w:vAlign w:val="bottom"/>
          </w:tcPr>
          <w:p>
            <w:pPr>
              <w:spacing w:after="0"/>
              <w:rPr>
                <w:sz w:val="23"/>
                <w:szCs w:val="23"/>
                <w:color w:val="auto"/>
              </w:rPr>
            </w:pPr>
          </w:p>
        </w:tc>
        <w:tc>
          <w:tcPr>
            <w:tcW w:w="6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American Assets Trust, Inc. Supplemental Information for the quarter ended September 30, 2026.</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665" w:hanging="761"/>
        <w:spacing w:after="0"/>
        <w:tabs>
          <w:tab w:leader="none" w:pos="1665"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XBRL tags are embedded within the Inline XBRL document).</w:t>
      </w:r>
    </w:p>
    <w:p>
      <w:pPr>
        <w:spacing w:after="0" w:line="8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_____________________</w:t>
      </w:r>
    </w:p>
    <w:p>
      <w:pPr>
        <w:spacing w:after="0" w:line="160" w:lineRule="exact"/>
        <w:rPr>
          <w:rFonts w:ascii="Times New Roman" w:cs="Times New Roman" w:eastAsia="Times New Roman" w:hAnsi="Times New Roman"/>
          <w:sz w:val="16"/>
          <w:szCs w:val="16"/>
          <w:color w:val="auto"/>
        </w:rPr>
      </w:pPr>
    </w:p>
    <w:p>
      <w:pPr>
        <w:ind w:left="205" w:hanging="205"/>
        <w:spacing w:after="0"/>
        <w:tabs>
          <w:tab w:leader="none" w:pos="20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6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5"/>
          </w:cols>
          <w:pgMar w:left="315" w:top="125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American Assets Trust, Inc.</w:t>
      </w:r>
    </w:p>
    <w:p>
      <w:pPr>
        <w:spacing w:after="0" w:line="218" w:lineRule="exact"/>
        <w:rPr>
          <w:sz w:val="20"/>
          <w:szCs w:val="20"/>
          <w:color w:val="auto"/>
        </w:rPr>
      </w:pPr>
    </w:p>
    <w:p>
      <w:pPr>
        <w:ind w:left="5200"/>
        <w:spacing w:after="0"/>
        <w:tabs>
          <w:tab w:leader="none" w:pos="56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126365</wp:posOffset>
            </wp:positionV>
            <wp:extent cx="31769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6905" cy="7620"/>
                    </a:xfrm>
                    <a:prstGeom prst="rect">
                      <a:avLst/>
                    </a:prstGeom>
                    <a:noFill/>
                  </pic:spPr>
                </pic:pic>
              </a:graphicData>
            </a:graphic>
          </wp:anchor>
        </w:drawing>
      </w:r>
    </w:p>
    <w:p>
      <w:pPr>
        <w:spacing w:after="0" w:line="1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Robert F. Barton</w:t>
      </w:r>
    </w:p>
    <w:p>
      <w:pPr>
        <w:spacing w:after="0" w:line="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Executive Vice President, CFO</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October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20"/>
          </w:cols>
          <w:pgMar w:left="320" w:top="1256"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516890</wp:posOffset>
            </wp:positionV>
            <wp:extent cx="1118870" cy="585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18870" cy="5854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Assets Trust, Inc. Reports Third Quarter 2026 Financial Results</w:t>
      </w:r>
    </w:p>
    <w:p>
      <w:pPr>
        <w:spacing w:after="0" w:line="271"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b w:val="1"/>
          <w:bCs w:val="1"/>
          <w:color w:val="auto"/>
        </w:rPr>
        <w:t xml:space="preserve">SAN DIEGO, California - 10/27/2026 </w:t>
      </w:r>
      <w:r>
        <w:rPr>
          <w:rFonts w:ascii="Arial" w:cs="Arial" w:eastAsia="Arial" w:hAnsi="Arial"/>
          <w:sz w:val="16"/>
          <w:szCs w:val="16"/>
          <w:color w:val="auto"/>
        </w:rPr>
        <w:t>- American Assets Trust, Inc. (NYSE: AAT) (the “company”) today reported financial results for its third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Quarter Highlights</w:t>
      </w:r>
    </w:p>
    <w:p>
      <w:pPr>
        <w:spacing w:after="0" w:line="53" w:lineRule="exact"/>
        <w:rPr>
          <w:sz w:val="20"/>
          <w:szCs w:val="20"/>
          <w:color w:val="auto"/>
        </w:rPr>
      </w:pPr>
    </w:p>
    <w:p>
      <w:pPr>
        <w:ind w:left="560" w:right="480" w:hanging="282"/>
        <w:spacing w:after="0" w:line="277" w:lineRule="auto"/>
        <w:tabs>
          <w:tab w:leader="none" w:pos="55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available to common stockholders of $7.7 million and $18.0 million for the three and nine months ended September 30, 2026, respectively, or $0.13 and $0.30 per diluted share, respectively.</w:t>
      </w:r>
    </w:p>
    <w:p>
      <w:pPr>
        <w:spacing w:after="0" w:line="1" w:lineRule="exact"/>
        <w:rPr>
          <w:rFonts w:ascii="Arial" w:cs="Arial" w:eastAsia="Arial" w:hAnsi="Arial"/>
          <w:sz w:val="16"/>
          <w:szCs w:val="16"/>
          <w:b w:val="1"/>
          <w:bCs w:val="1"/>
          <w:color w:val="auto"/>
        </w:rPr>
      </w:pPr>
    </w:p>
    <w:p>
      <w:pPr>
        <w:ind w:left="560" w:right="260" w:hanging="282"/>
        <w:spacing w:after="0" w:line="276" w:lineRule="auto"/>
        <w:tabs>
          <w:tab w:leader="none" w:pos="55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Funds From Operations (“FFO”) of $0.56 and $1.57 per diluted share for the three and nine months ended September 30, 2026, respectively, compared to $0.49 and $1.53 per diluted share for the same periods in 2025.</w:t>
      </w:r>
    </w:p>
    <w:p>
      <w:pPr>
        <w:spacing w:after="0" w:line="14" w:lineRule="exact"/>
        <w:rPr>
          <w:rFonts w:ascii="Arial" w:cs="Arial" w:eastAsia="Arial" w:hAnsi="Arial"/>
          <w:sz w:val="16"/>
          <w:szCs w:val="16"/>
          <w:b w:val="1"/>
          <w:bCs w:val="1"/>
          <w:color w:val="auto"/>
        </w:rPr>
      </w:pPr>
    </w:p>
    <w:p>
      <w:pPr>
        <w:ind w:left="560" w:right="980" w:hanging="282"/>
        <w:spacing w:after="0" w:line="276" w:lineRule="auto"/>
        <w:tabs>
          <w:tab w:leader="none" w:pos="538" w:val="left"/>
        </w:tabs>
        <w:numPr>
          <w:ilvl w:val="0"/>
          <w:numId w:val="3"/>
        </w:numPr>
        <w:rPr>
          <w:rFonts w:ascii="Arial" w:cs="Arial" w:eastAsia="Arial" w:hAnsi="Arial"/>
          <w:sz w:val="17"/>
          <w:szCs w:val="17"/>
          <w:color w:val="auto"/>
        </w:rPr>
      </w:pPr>
      <w:r>
        <w:rPr>
          <w:rFonts w:ascii="Arial" w:cs="Arial" w:eastAsia="Arial" w:hAnsi="Arial"/>
          <w:sz w:val="16"/>
          <w:szCs w:val="16"/>
          <w:b w:val="1"/>
          <w:bCs w:val="1"/>
          <w:color w:val="auto"/>
        </w:rPr>
        <w:t>Same-store cash Net Operating Income (</w:t>
      </w:r>
      <w:r>
        <w:rPr>
          <w:rFonts w:ascii="Arial" w:cs="Arial" w:eastAsia="Arial" w:hAnsi="Arial"/>
          <w:sz w:val="16"/>
          <w:szCs w:val="16"/>
          <w:color w:val="auto"/>
        </w:rPr>
        <w:t>“</w:t>
      </w:r>
      <w:r>
        <w:rPr>
          <w:rFonts w:ascii="Arial" w:cs="Arial" w:eastAsia="Arial" w:hAnsi="Arial"/>
          <w:sz w:val="16"/>
          <w:szCs w:val="16"/>
          <w:b w:val="1"/>
          <w:bCs w:val="1"/>
          <w:color w:val="auto"/>
        </w:rPr>
        <w:t>NOI”) increased 8.3% and 2.3% for the three and nine months ended September 30, 2026, respectively, compared to the same periods in 2025.</w:t>
      </w:r>
    </w:p>
    <w:p>
      <w:pPr>
        <w:spacing w:after="0" w:line="1" w:lineRule="exact"/>
        <w:rPr>
          <w:rFonts w:ascii="Arial" w:cs="Arial" w:eastAsia="Arial" w:hAnsi="Arial"/>
          <w:sz w:val="17"/>
          <w:szCs w:val="17"/>
          <w:color w:val="auto"/>
        </w:rPr>
      </w:pPr>
    </w:p>
    <w:p>
      <w:pPr>
        <w:ind w:left="560" w:hanging="282"/>
        <w:spacing w:after="0"/>
        <w:tabs>
          <w:tab w:leader="none" w:pos="5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Increased 2026 FFO per diluted share guidance to a range of $2.04 to $2.10 with a midpoint of $2.07, a $0.04 increase over prior guidance.</w:t>
      </w:r>
    </w:p>
    <w:p>
      <w:pPr>
        <w:spacing w:after="0" w:line="52" w:lineRule="exact"/>
        <w:rPr>
          <w:rFonts w:ascii="Arial" w:cs="Arial" w:eastAsia="Arial" w:hAnsi="Arial"/>
          <w:sz w:val="16"/>
          <w:szCs w:val="16"/>
          <w:b w:val="1"/>
          <w:bCs w:val="1"/>
          <w:color w:val="auto"/>
        </w:rPr>
      </w:pPr>
    </w:p>
    <w:p>
      <w:pPr>
        <w:ind w:left="560" w:hanging="282"/>
        <w:spacing w:after="0"/>
        <w:tabs>
          <w:tab w:leader="none" w:pos="5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Achieved record average rental rates across our retail and multifamily segments during the third quarter.</w:t>
      </w:r>
    </w:p>
    <w:p>
      <w:pPr>
        <w:spacing w:after="0" w:line="52" w:lineRule="exact"/>
        <w:rPr>
          <w:rFonts w:ascii="Arial" w:cs="Arial" w:eastAsia="Arial" w:hAnsi="Arial"/>
          <w:sz w:val="16"/>
          <w:szCs w:val="16"/>
          <w:b w:val="1"/>
          <w:bCs w:val="1"/>
          <w:color w:val="auto"/>
        </w:rPr>
      </w:pPr>
    </w:p>
    <w:p>
      <w:pPr>
        <w:ind w:left="560" w:right="860" w:hanging="282"/>
        <w:spacing w:after="0" w:line="277" w:lineRule="auto"/>
        <w:tabs>
          <w:tab w:leader="none" w:pos="55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Leased 124,000 of office square feet, of which approximately 47,000 is comparable, at an average straight-line basis and cash-basis contractual rent increase of 8.2% and 2.1%, respectively, during the third quarter.</w:t>
      </w:r>
    </w:p>
    <w:p>
      <w:pPr>
        <w:spacing w:after="0" w:line="1" w:lineRule="exact"/>
        <w:rPr>
          <w:rFonts w:ascii="Arial" w:cs="Arial" w:eastAsia="Arial" w:hAnsi="Arial"/>
          <w:sz w:val="16"/>
          <w:szCs w:val="16"/>
          <w:b w:val="1"/>
          <w:bCs w:val="1"/>
          <w:color w:val="auto"/>
        </w:rPr>
      </w:pPr>
    </w:p>
    <w:p>
      <w:pPr>
        <w:ind w:left="560" w:right="20" w:hanging="282"/>
        <w:spacing w:after="0" w:line="289" w:lineRule="auto"/>
        <w:tabs>
          <w:tab w:leader="none" w:pos="55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Leased 108,000 of retail square feet, of which approximately 94,000 is comparable, at an average straight-line basis and cash-basis contractual rent increase of 16.8% and 7.4%, respectively, during the third quarter.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(Unaudited, amounts in thousands, except per share data)</w:t>
            </w:r>
          </w:p>
        </w:tc>
        <w:tc>
          <w:tcPr>
            <w:tcW w:w="31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7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rPr>
              <w:t>Nine Months Ended September 30,</w:t>
            </w:r>
          </w:p>
        </w:tc>
      </w:tr>
      <w:tr>
        <w:trPr>
          <w:trHeight w:val="193"/>
        </w:trPr>
        <w:tc>
          <w:tcPr>
            <w:tcW w:w="52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r>
      <w:tr>
        <w:trPr>
          <w:trHeight w:val="20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67,149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Basic and diluted income attributable to common stockholders per share</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0.13</w:t>
            </w:r>
          </w:p>
        </w:tc>
        <w:tc>
          <w:tcPr>
            <w:tcW w:w="8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0.87</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 and common units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42,832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117,422</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FFO per diluted share and unit</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0.56</w:t>
            </w:r>
          </w:p>
        </w:tc>
        <w:tc>
          <w:tcPr>
            <w:tcW w:w="8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1.53</w:t>
            </w:r>
          </w:p>
        </w:tc>
      </w:tr>
    </w:tbl>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Net income decreased $43.6 million for the nine months ended September 30, 2026, compared to the same period in 2025, primarily driven by the gain on sale of Del Monte Center recognized in 2025, higher interest expense as we ceased capitalization of interest related to La Jolla Commons III being placed into service, decrease in occupancy at First &amp; Main and 14Acres and overall increase in rental expenses across our same-store properties. These decreases were partially offset by the acquisition of Genesee Park in 2025, prior year tax refunds received at Waikele Center and an increase in new tenant leases commenced at City Center Bellevue and La Jolla Commons III.</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440" w:right="319" w:bottom="1440" w:gutter="0" w:footer="0" w:header="0"/>
        </w:sectPr>
      </w:pPr>
    </w:p>
    <w:bookmarkStart w:id="4" w:name="page5"/>
    <w:bookmarkEnd w:id="4"/>
    <w:p>
      <w:pPr>
        <w:ind w:left="5"/>
        <w:spacing w:after="0"/>
        <w:rPr>
          <w:sz w:val="20"/>
          <w:szCs w:val="20"/>
          <w:color w:val="auto"/>
        </w:rPr>
      </w:pPr>
      <w:r>
        <w:rPr>
          <w:rFonts w:ascii="Arial" w:cs="Arial" w:eastAsia="Arial" w:hAnsi="Arial"/>
          <w:sz w:val="16"/>
          <w:szCs w:val="16"/>
          <w:color w:val="auto"/>
        </w:rPr>
        <w:t>FFO increased $3.5 million for the nine months ended September 30, 2026, compared to the same period in 2025, primarily due to the items described above.</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6"/>
          <w:szCs w:val="16"/>
          <w:color w:val="auto"/>
        </w:rPr>
        <w:t>Gain on sale of Del Monte Center is excluded from FFO computations.</w:t>
      </w:r>
    </w:p>
    <w:p>
      <w:pPr>
        <w:spacing w:after="0" w:line="204" w:lineRule="exact"/>
        <w:rPr>
          <w:sz w:val="20"/>
          <w:szCs w:val="20"/>
          <w:color w:val="auto"/>
        </w:rPr>
      </w:pPr>
    </w:p>
    <w:p>
      <w:pPr>
        <w:ind w:left="5" w:right="280"/>
        <w:spacing w:after="0" w:line="276" w:lineRule="auto"/>
        <w:rPr>
          <w:sz w:val="20"/>
          <w:szCs w:val="20"/>
          <w:color w:val="auto"/>
        </w:rPr>
      </w:pPr>
      <w:r>
        <w:rPr>
          <w:rFonts w:ascii="Arial" w:cs="Arial" w:eastAsia="Arial" w:hAnsi="Arial"/>
          <w:sz w:val="16"/>
          <w:szCs w:val="16"/>
          <w:color w:val="auto"/>
        </w:rPr>
        <w:t>FFO is a non-GAAP supplemental earnings measure which the company considers meaningful in measuring its operating performance. A reconciliation of net income to FFO is attached to this press release.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Leasing</w:t>
      </w:r>
    </w:p>
    <w:p>
      <w:pPr>
        <w:spacing w:after="0" w:line="5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portfolio leased status as of the end of the indicated quarter was as follows:</w:t>
      </w:r>
    </w:p>
    <w:p>
      <w:pPr>
        <w:spacing w:after="0" w:line="98"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2800" w:type="dxa"/>
            <w:vAlign w:val="bottom"/>
            <w:tcBorders>
              <w:bottom w:val="single" w:sz="8" w:color="CCEEFF"/>
            </w:tcBorders>
          </w:tcPr>
          <w:p>
            <w:pPr>
              <w:spacing w:after="0"/>
              <w:rPr>
                <w:sz w:val="17"/>
                <w:szCs w:val="17"/>
                <w:color w:val="auto"/>
              </w:rPr>
            </w:pPr>
          </w:p>
        </w:tc>
        <w:tc>
          <w:tcPr>
            <w:tcW w:w="294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9"/>
              </w:rPr>
              <w:t>September 30, 2026</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June 30, 2026</w:t>
            </w:r>
          </w:p>
        </w:tc>
        <w:tc>
          <w:tcPr>
            <w:tcW w:w="294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w w:val="97"/>
              </w:rPr>
              <w:t>September 30, 2025</w:t>
            </w:r>
          </w:p>
        </w:tc>
      </w:tr>
      <w:tr>
        <w:trPr>
          <w:trHeight w:val="19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w:t>
            </w:r>
          </w:p>
        </w:tc>
        <w:tc>
          <w:tcPr>
            <w:tcW w:w="294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Office</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85.8%</w:t>
            </w:r>
          </w:p>
        </w:tc>
        <w:tc>
          <w:tcPr>
            <w:tcW w:w="2580" w:type="dxa"/>
            <w:vAlign w:val="bottom"/>
          </w:tcPr>
          <w:p>
            <w:pPr>
              <w:jc w:val="center"/>
              <w:spacing w:after="0"/>
              <w:rPr>
                <w:sz w:val="20"/>
                <w:szCs w:val="20"/>
                <w:color w:val="auto"/>
              </w:rPr>
            </w:pPr>
            <w:r>
              <w:rPr>
                <w:rFonts w:ascii="Arial" w:cs="Arial" w:eastAsia="Arial" w:hAnsi="Arial"/>
                <w:sz w:val="16"/>
                <w:szCs w:val="16"/>
                <w:color w:val="auto"/>
              </w:rPr>
              <w:t>84.4%</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81.9%</w:t>
            </w:r>
          </w:p>
        </w:tc>
      </w:tr>
      <w:tr>
        <w:trPr>
          <w:trHeight w:val="21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9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98.3%</w:t>
            </w:r>
          </w:p>
        </w:tc>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97.9%</w:t>
            </w:r>
          </w:p>
        </w:tc>
        <w:tc>
          <w:tcPr>
            <w:tcW w:w="29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6"/>
              </w:rPr>
              <w:t>97.9%</w:t>
            </w:r>
          </w:p>
        </w:tc>
      </w:tr>
      <w:tr>
        <w:trPr>
          <w:trHeight w:val="213"/>
        </w:trPr>
        <w:tc>
          <w:tcPr>
            <w:tcW w:w="28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Multifamily </w:t>
            </w:r>
            <w:r>
              <w:rPr>
                <w:rFonts w:ascii="Arial" w:cs="Arial" w:eastAsia="Arial" w:hAnsi="Arial"/>
                <w:sz w:val="20"/>
                <w:szCs w:val="20"/>
                <w:color w:val="auto"/>
                <w:vertAlign w:val="superscript"/>
              </w:rPr>
              <w:t>(1) (2)</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94.2%</w:t>
            </w:r>
          </w:p>
        </w:tc>
        <w:tc>
          <w:tcPr>
            <w:tcW w:w="2580" w:type="dxa"/>
            <w:vAlign w:val="bottom"/>
          </w:tcPr>
          <w:p>
            <w:pPr>
              <w:jc w:val="center"/>
              <w:spacing w:after="0"/>
              <w:rPr>
                <w:sz w:val="20"/>
                <w:szCs w:val="20"/>
                <w:color w:val="auto"/>
              </w:rPr>
            </w:pPr>
            <w:r>
              <w:rPr>
                <w:rFonts w:ascii="Arial" w:cs="Arial" w:eastAsia="Arial" w:hAnsi="Arial"/>
                <w:sz w:val="16"/>
                <w:szCs w:val="16"/>
                <w:color w:val="auto"/>
              </w:rPr>
              <w:t>88.4%</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91.5%</w:t>
            </w:r>
          </w:p>
        </w:tc>
      </w:tr>
      <w:tr>
        <w:trPr>
          <w:trHeight w:val="21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29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13"/>
        </w:trPr>
        <w:tc>
          <w:tcPr>
            <w:tcW w:w="2800" w:type="dxa"/>
            <w:vAlign w:val="bottom"/>
          </w:tcPr>
          <w:p>
            <w:pPr>
              <w:ind w:left="160"/>
              <w:spacing w:after="0"/>
              <w:rPr>
                <w:sz w:val="20"/>
                <w:szCs w:val="20"/>
                <w:color w:val="auto"/>
              </w:rPr>
            </w:pPr>
            <w:r>
              <w:rPr>
                <w:rFonts w:ascii="Arial" w:cs="Arial" w:eastAsia="Arial" w:hAnsi="Arial"/>
                <w:sz w:val="16"/>
                <w:szCs w:val="16"/>
                <w:color w:val="auto"/>
              </w:rPr>
              <w:t>Retail</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93.7%</w:t>
            </w:r>
          </w:p>
        </w:tc>
        <w:tc>
          <w:tcPr>
            <w:tcW w:w="2580" w:type="dxa"/>
            <w:vAlign w:val="bottom"/>
          </w:tcPr>
          <w:p>
            <w:pPr>
              <w:jc w:val="center"/>
              <w:spacing w:after="0"/>
              <w:rPr>
                <w:sz w:val="20"/>
                <w:szCs w:val="20"/>
                <w:color w:val="auto"/>
              </w:rPr>
            </w:pPr>
            <w:r>
              <w:rPr>
                <w:rFonts w:ascii="Arial" w:cs="Arial" w:eastAsia="Arial" w:hAnsi="Arial"/>
                <w:sz w:val="16"/>
                <w:szCs w:val="16"/>
                <w:color w:val="auto"/>
              </w:rPr>
              <w:t>92.2%</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95.0%</w:t>
            </w:r>
          </w:p>
        </w:tc>
      </w:tr>
      <w:tr>
        <w:trPr>
          <w:trHeight w:val="213"/>
        </w:trPr>
        <w:tc>
          <w:tcPr>
            <w:tcW w:w="2800" w:type="dxa"/>
            <w:vAlign w:val="bottom"/>
            <w:shd w:val="clear" w:color="auto" w:fill="CCEEFF"/>
          </w:tcPr>
          <w:p>
            <w:pPr>
              <w:ind w:left="160"/>
              <w:spacing w:after="0" w:line="213" w:lineRule="exact"/>
              <w:rPr>
                <w:sz w:val="20"/>
                <w:szCs w:val="20"/>
                <w:color w:val="auto"/>
              </w:rPr>
            </w:pPr>
            <w:r>
              <w:rPr>
                <w:rFonts w:ascii="Arial" w:cs="Arial" w:eastAsia="Arial" w:hAnsi="Arial"/>
                <w:sz w:val="16"/>
                <w:szCs w:val="16"/>
                <w:color w:val="auto"/>
              </w:rPr>
              <w:t xml:space="preserve">Hotel </w:t>
            </w:r>
            <w:r>
              <w:rPr>
                <w:rFonts w:ascii="Arial" w:cs="Arial" w:eastAsia="Arial" w:hAnsi="Arial"/>
                <w:sz w:val="20"/>
                <w:szCs w:val="20"/>
                <w:color w:val="auto"/>
                <w:vertAlign w:val="superscript"/>
              </w:rPr>
              <w:t>(3)</w:t>
            </w:r>
          </w:p>
        </w:tc>
        <w:tc>
          <w:tcPr>
            <w:tcW w:w="29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90.3%</w:t>
            </w:r>
          </w:p>
        </w:tc>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91.2%</w:t>
            </w:r>
          </w:p>
        </w:tc>
        <w:tc>
          <w:tcPr>
            <w:tcW w:w="29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6"/>
              </w:rPr>
              <w:t>82.9%</w:t>
            </w:r>
          </w:p>
        </w:tc>
      </w:tr>
      <w:tr>
        <w:trPr>
          <w:trHeight w:val="189"/>
        </w:trPr>
        <w:tc>
          <w:tcPr>
            <w:tcW w:w="2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213"/>
        </w:trPr>
        <w:tc>
          <w:tcPr>
            <w:tcW w:w="28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 xml:space="preserve">Same-Store Portfolio </w:t>
            </w:r>
            <w:r>
              <w:rPr>
                <w:rFonts w:ascii="Arial" w:cs="Arial" w:eastAsia="Arial" w:hAnsi="Arial"/>
                <w:sz w:val="20"/>
                <w:szCs w:val="20"/>
                <w:color w:val="auto"/>
                <w:vertAlign w:val="superscript"/>
              </w:rPr>
              <w:t>(4)</w:t>
            </w:r>
          </w:p>
        </w:tc>
        <w:tc>
          <w:tcPr>
            <w:tcW w:w="29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Office</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85.8%</w:t>
            </w:r>
          </w:p>
        </w:tc>
        <w:tc>
          <w:tcPr>
            <w:tcW w:w="2580" w:type="dxa"/>
            <w:vAlign w:val="bottom"/>
          </w:tcPr>
          <w:p>
            <w:pPr>
              <w:jc w:val="center"/>
              <w:spacing w:after="0"/>
              <w:rPr>
                <w:sz w:val="20"/>
                <w:szCs w:val="20"/>
                <w:color w:val="auto"/>
              </w:rPr>
            </w:pPr>
            <w:r>
              <w:rPr>
                <w:rFonts w:ascii="Arial" w:cs="Arial" w:eastAsia="Arial" w:hAnsi="Arial"/>
                <w:sz w:val="16"/>
                <w:szCs w:val="16"/>
                <w:color w:val="auto"/>
              </w:rPr>
              <w:t>84.4%</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81.9%</w:t>
            </w:r>
          </w:p>
        </w:tc>
      </w:tr>
      <w:tr>
        <w:trPr>
          <w:trHeight w:val="21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9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98.3%</w:t>
            </w:r>
          </w:p>
        </w:tc>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97.9%</w:t>
            </w:r>
          </w:p>
        </w:tc>
        <w:tc>
          <w:tcPr>
            <w:tcW w:w="29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6"/>
              </w:rPr>
              <w:t>97.9%</w:t>
            </w:r>
          </w:p>
        </w:tc>
      </w:tr>
      <w:tr>
        <w:trPr>
          <w:trHeight w:val="213"/>
        </w:trPr>
        <w:tc>
          <w:tcPr>
            <w:tcW w:w="28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Multifamily </w:t>
            </w:r>
            <w:r>
              <w:rPr>
                <w:rFonts w:ascii="Arial" w:cs="Arial" w:eastAsia="Arial" w:hAnsi="Arial"/>
                <w:sz w:val="20"/>
                <w:szCs w:val="20"/>
                <w:color w:val="auto"/>
                <w:vertAlign w:val="superscript"/>
              </w:rPr>
              <w:t>(1) (2)</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94.2%</w:t>
            </w:r>
          </w:p>
        </w:tc>
        <w:tc>
          <w:tcPr>
            <w:tcW w:w="2580" w:type="dxa"/>
            <w:vAlign w:val="bottom"/>
          </w:tcPr>
          <w:p>
            <w:pPr>
              <w:jc w:val="center"/>
              <w:spacing w:after="0"/>
              <w:rPr>
                <w:sz w:val="20"/>
                <w:szCs w:val="20"/>
                <w:color w:val="auto"/>
              </w:rPr>
            </w:pPr>
            <w:r>
              <w:rPr>
                <w:rFonts w:ascii="Arial" w:cs="Arial" w:eastAsia="Arial" w:hAnsi="Arial"/>
                <w:sz w:val="16"/>
                <w:szCs w:val="16"/>
                <w:color w:val="auto"/>
              </w:rPr>
              <w:t>88.4%</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91.5%</w:t>
            </w:r>
          </w:p>
        </w:tc>
      </w:tr>
      <w:tr>
        <w:trPr>
          <w:trHeight w:val="213"/>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29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13"/>
        </w:trPr>
        <w:tc>
          <w:tcPr>
            <w:tcW w:w="2800" w:type="dxa"/>
            <w:vAlign w:val="bottom"/>
          </w:tcPr>
          <w:p>
            <w:pPr>
              <w:ind w:left="120"/>
              <w:spacing w:after="0"/>
              <w:rPr>
                <w:sz w:val="20"/>
                <w:szCs w:val="20"/>
                <w:color w:val="auto"/>
              </w:rPr>
            </w:pPr>
            <w:r>
              <w:rPr>
                <w:rFonts w:ascii="Arial" w:cs="Arial" w:eastAsia="Arial" w:hAnsi="Arial"/>
                <w:sz w:val="16"/>
                <w:szCs w:val="16"/>
                <w:color w:val="auto"/>
              </w:rPr>
              <w:t>Retail</w:t>
            </w:r>
          </w:p>
        </w:tc>
        <w:tc>
          <w:tcPr>
            <w:tcW w:w="2940" w:type="dxa"/>
            <w:vAlign w:val="bottom"/>
          </w:tcPr>
          <w:p>
            <w:pPr>
              <w:jc w:val="center"/>
              <w:ind w:right="21"/>
              <w:spacing w:after="0"/>
              <w:rPr>
                <w:sz w:val="20"/>
                <w:szCs w:val="20"/>
                <w:color w:val="auto"/>
              </w:rPr>
            </w:pPr>
            <w:r>
              <w:rPr>
                <w:rFonts w:ascii="Arial" w:cs="Arial" w:eastAsia="Arial" w:hAnsi="Arial"/>
                <w:sz w:val="16"/>
                <w:szCs w:val="16"/>
                <w:color w:val="auto"/>
                <w:w w:val="96"/>
              </w:rPr>
              <w:t>93.7%</w:t>
            </w:r>
          </w:p>
        </w:tc>
        <w:tc>
          <w:tcPr>
            <w:tcW w:w="2580" w:type="dxa"/>
            <w:vAlign w:val="bottom"/>
          </w:tcPr>
          <w:p>
            <w:pPr>
              <w:jc w:val="center"/>
              <w:spacing w:after="0"/>
              <w:rPr>
                <w:sz w:val="20"/>
                <w:szCs w:val="20"/>
                <w:color w:val="auto"/>
              </w:rPr>
            </w:pPr>
            <w:r>
              <w:rPr>
                <w:rFonts w:ascii="Arial" w:cs="Arial" w:eastAsia="Arial" w:hAnsi="Arial"/>
                <w:sz w:val="16"/>
                <w:szCs w:val="16"/>
                <w:color w:val="auto"/>
              </w:rPr>
              <w:t>92.2%</w:t>
            </w:r>
          </w:p>
        </w:tc>
        <w:tc>
          <w:tcPr>
            <w:tcW w:w="2940" w:type="dxa"/>
            <w:vAlign w:val="bottom"/>
          </w:tcPr>
          <w:p>
            <w:pPr>
              <w:jc w:val="center"/>
              <w:ind w:left="21"/>
              <w:spacing w:after="0"/>
              <w:rPr>
                <w:sz w:val="20"/>
                <w:szCs w:val="20"/>
                <w:color w:val="auto"/>
              </w:rPr>
            </w:pPr>
            <w:r>
              <w:rPr>
                <w:rFonts w:ascii="Arial" w:cs="Arial" w:eastAsia="Arial" w:hAnsi="Arial"/>
                <w:sz w:val="16"/>
                <w:szCs w:val="16"/>
                <w:color w:val="auto"/>
                <w:w w:val="96"/>
              </w:rPr>
              <w:t>95.0%</w:t>
            </w:r>
          </w:p>
        </w:tc>
      </w:tr>
      <w:tr>
        <w:trPr>
          <w:trHeight w:val="213"/>
        </w:trPr>
        <w:tc>
          <w:tcPr>
            <w:tcW w:w="2800" w:type="dxa"/>
            <w:vAlign w:val="bottom"/>
            <w:shd w:val="clear" w:color="auto" w:fill="CCEEFF"/>
          </w:tcPr>
          <w:p>
            <w:pPr>
              <w:ind w:left="120"/>
              <w:spacing w:after="0" w:line="213" w:lineRule="exact"/>
              <w:rPr>
                <w:sz w:val="20"/>
                <w:szCs w:val="20"/>
                <w:color w:val="auto"/>
              </w:rPr>
            </w:pPr>
            <w:r>
              <w:rPr>
                <w:rFonts w:ascii="Arial" w:cs="Arial" w:eastAsia="Arial" w:hAnsi="Arial"/>
                <w:sz w:val="16"/>
                <w:szCs w:val="16"/>
                <w:color w:val="auto"/>
              </w:rPr>
              <w:t xml:space="preserve">Hotel </w:t>
            </w:r>
            <w:r>
              <w:rPr>
                <w:rFonts w:ascii="Arial" w:cs="Arial" w:eastAsia="Arial" w:hAnsi="Arial"/>
                <w:sz w:val="20"/>
                <w:szCs w:val="20"/>
                <w:color w:val="auto"/>
                <w:vertAlign w:val="superscript"/>
              </w:rPr>
              <w:t>(3)</w:t>
            </w:r>
          </w:p>
        </w:tc>
        <w:tc>
          <w:tcPr>
            <w:tcW w:w="29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96"/>
              </w:rPr>
              <w:t>90.3%</w:t>
            </w:r>
          </w:p>
        </w:tc>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91.2%</w:t>
            </w:r>
          </w:p>
        </w:tc>
        <w:tc>
          <w:tcPr>
            <w:tcW w:w="29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6"/>
              </w:rPr>
              <w:t>82.9%</w:t>
            </w:r>
          </w:p>
        </w:tc>
      </w:tr>
    </w:tbl>
    <w:p>
      <w:pPr>
        <w:spacing w:after="0" w:line="115" w:lineRule="exact"/>
        <w:rPr>
          <w:sz w:val="20"/>
          <w:szCs w:val="20"/>
          <w:color w:val="auto"/>
        </w:rPr>
      </w:pPr>
    </w:p>
    <w:p>
      <w:pPr>
        <w:ind w:left="285" w:hanging="285"/>
        <w:spacing w:after="0"/>
        <w:tabs>
          <w:tab w:leader="none" w:pos="285" w:val="left"/>
        </w:tabs>
        <w:numPr>
          <w:ilvl w:val="0"/>
          <w:numId w:val="4"/>
        </w:numPr>
        <w:rPr>
          <w:rFonts w:ascii="Arial" w:cs="Arial" w:eastAsia="Arial" w:hAnsi="Arial"/>
          <w:sz w:val="11"/>
          <w:szCs w:val="11"/>
          <w:color w:val="auto"/>
        </w:rPr>
      </w:pPr>
      <w:r>
        <w:rPr>
          <w:rFonts w:ascii="Arial" w:cs="Arial" w:eastAsia="Arial" w:hAnsi="Arial"/>
          <w:sz w:val="11"/>
          <w:szCs w:val="11"/>
          <w:color w:val="auto"/>
        </w:rPr>
        <w:t>Percentage leased for our multifamily properties includes total units rented and occupied as of each of the applicable dates.</w:t>
      </w:r>
    </w:p>
    <w:p>
      <w:pPr>
        <w:spacing w:after="0" w:line="17" w:lineRule="exact"/>
        <w:rPr>
          <w:rFonts w:ascii="Arial" w:cs="Arial" w:eastAsia="Arial" w:hAnsi="Arial"/>
          <w:sz w:val="11"/>
          <w:szCs w:val="11"/>
          <w:color w:val="auto"/>
        </w:rPr>
      </w:pPr>
    </w:p>
    <w:p>
      <w:pPr>
        <w:ind w:left="285" w:right="120" w:hanging="285"/>
        <w:spacing w:after="0" w:line="267" w:lineRule="auto"/>
        <w:tabs>
          <w:tab w:leader="none" w:pos="259" w:val="left"/>
        </w:tabs>
        <w:numPr>
          <w:ilvl w:val="0"/>
          <w:numId w:val="4"/>
        </w:numPr>
        <w:rPr>
          <w:rFonts w:ascii="Arial" w:cs="Arial" w:eastAsia="Arial" w:hAnsi="Arial"/>
          <w:sz w:val="11"/>
          <w:szCs w:val="11"/>
          <w:color w:val="auto"/>
        </w:rPr>
      </w:pPr>
      <w:r>
        <w:rPr>
          <w:rFonts w:ascii="Arial" w:cs="Arial" w:eastAsia="Arial" w:hAnsi="Arial"/>
          <w:sz w:val="11"/>
          <w:szCs w:val="11"/>
          <w:color w:val="auto"/>
        </w:rPr>
        <w:t>Santa Fe Park RV Resort is excluded from the multifamily presentation above to reflect traditional multifamily performance. Including Santa Fe Park RV Resort, multifamily occupancy would be 92.4%, 87.7% and 89.7% as of September 30, 2026, June 30, 2026 and September 30, 2025, respectively.</w:t>
      </w:r>
    </w:p>
    <w:p>
      <w:pPr>
        <w:ind w:left="265" w:hanging="265"/>
        <w:spacing w:after="0"/>
        <w:tabs>
          <w:tab w:leader="none" w:pos="265"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average occupancy for year to date as of each indicated quarter.</w:t>
      </w:r>
    </w:p>
    <w:p>
      <w:pPr>
        <w:spacing w:after="0" w:line="17" w:lineRule="exact"/>
        <w:rPr>
          <w:rFonts w:ascii="Arial" w:cs="Arial" w:eastAsia="Arial" w:hAnsi="Arial"/>
          <w:sz w:val="11"/>
          <w:szCs w:val="11"/>
          <w:color w:val="auto"/>
        </w:rPr>
      </w:pPr>
    </w:p>
    <w:p>
      <w:pPr>
        <w:ind w:left="265" w:hanging="265"/>
        <w:spacing w:after="0"/>
        <w:tabs>
          <w:tab w:leader="none" w:pos="265" w:val="left"/>
        </w:tabs>
        <w:numPr>
          <w:ilvl w:val="0"/>
          <w:numId w:val="4"/>
        </w:numPr>
        <w:rPr>
          <w:rFonts w:ascii="Arial" w:cs="Arial" w:eastAsia="Arial" w:hAnsi="Arial"/>
          <w:sz w:val="11"/>
          <w:szCs w:val="11"/>
          <w:color w:val="auto"/>
        </w:rPr>
      </w:pPr>
      <w:r>
        <w:rPr>
          <w:rFonts w:ascii="Arial" w:cs="Arial" w:eastAsia="Arial" w:hAnsi="Arial"/>
          <w:sz w:val="11"/>
          <w:szCs w:val="11"/>
          <w:color w:val="auto"/>
        </w:rPr>
        <w:t>Same-store portfolio excludes land held for development.</w:t>
      </w:r>
    </w:p>
    <w:p>
      <w:pPr>
        <w:spacing w:after="0" w:line="286" w:lineRule="exact"/>
        <w:rPr>
          <w:sz w:val="20"/>
          <w:szCs w:val="20"/>
          <w:color w:val="auto"/>
        </w:rPr>
      </w:pPr>
    </w:p>
    <w:p>
      <w:pPr>
        <w:ind w:left="5" w:right="540"/>
        <w:spacing w:after="0" w:line="310" w:lineRule="auto"/>
        <w:rPr>
          <w:sz w:val="20"/>
          <w:szCs w:val="20"/>
          <w:color w:val="auto"/>
        </w:rPr>
      </w:pPr>
      <w:r>
        <w:rPr>
          <w:rFonts w:ascii="Arial" w:cs="Arial" w:eastAsia="Arial" w:hAnsi="Arial"/>
          <w:sz w:val="15"/>
          <w:szCs w:val="15"/>
          <w:color w:val="auto"/>
        </w:rPr>
        <w:t>During the third quarter of 2026, the company signed 43 leases for approximately 231,800 square feet of office and retail space, as well as 635 multifamily apartment leases. Renewals accounted for 88% of the comparable office leases, 86% of the comparable retail leases, and 50% of the residential leases.</w:t>
      </w:r>
    </w:p>
    <w:p>
      <w:pPr>
        <w:spacing w:after="0" w:line="240"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Office and Retail</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annualized base rent per leased square foot as of the end of the indicated quarter was as follows:</w:t>
      </w:r>
    </w:p>
    <w:p>
      <w:pPr>
        <w:spacing w:after="0" w:line="51"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620" w:type="dxa"/>
            <w:vAlign w:val="bottom"/>
            <w:tcBorders>
              <w:bottom w:val="single" w:sz="8" w:color="CCEEFF"/>
            </w:tcBorders>
          </w:tcPr>
          <w:p>
            <w:pPr>
              <w:spacing w:after="0"/>
              <w:rPr>
                <w:sz w:val="17"/>
                <w:szCs w:val="17"/>
                <w:color w:val="auto"/>
              </w:rPr>
            </w:pPr>
          </w:p>
        </w:tc>
        <w:tc>
          <w:tcPr>
            <w:tcW w:w="49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4th Quarter 2025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1st Quarter 2026</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2nd Quarter 2026</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3rd Quarter 2026</w:t>
            </w:r>
          </w:p>
        </w:tc>
      </w:tr>
      <w:tr>
        <w:trPr>
          <w:trHeight w:val="205"/>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Office</w:t>
            </w:r>
          </w:p>
        </w:tc>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Portfolio</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$56.69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$56.64</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$57.83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$57.64</w:t>
            </w:r>
          </w:p>
        </w:tc>
      </w:tr>
      <w:tr>
        <w:trPr>
          <w:trHeight w:val="224"/>
        </w:trPr>
        <w:tc>
          <w:tcPr>
            <w:tcW w:w="620" w:type="dxa"/>
            <w:vAlign w:val="bottom"/>
          </w:tcPr>
          <w:p>
            <w:pPr>
              <w:ind w:left="20"/>
              <w:spacing w:after="0"/>
              <w:rPr>
                <w:sz w:val="20"/>
                <w:szCs w:val="20"/>
                <w:color w:val="auto"/>
              </w:rPr>
            </w:pPr>
            <w:r>
              <w:rPr>
                <w:rFonts w:ascii="Arial" w:cs="Arial" w:eastAsia="Arial" w:hAnsi="Arial"/>
                <w:sz w:val="16"/>
                <w:szCs w:val="16"/>
                <w:b w:val="1"/>
                <w:bCs w:val="1"/>
                <w:color w:val="auto"/>
              </w:rPr>
              <w:t>Retail</w:t>
            </w:r>
          </w:p>
        </w:tc>
        <w:tc>
          <w:tcPr>
            <w:tcW w:w="4900" w:type="dxa"/>
            <w:vAlign w:val="bottom"/>
          </w:tcPr>
          <w:p>
            <w:pPr>
              <w:ind w:left="180"/>
              <w:spacing w:after="0"/>
              <w:rPr>
                <w:sz w:val="20"/>
                <w:szCs w:val="20"/>
                <w:color w:val="auto"/>
              </w:rPr>
            </w:pPr>
            <w:r>
              <w:rPr>
                <w:rFonts w:ascii="Arial" w:cs="Arial" w:eastAsia="Arial" w:hAnsi="Arial"/>
                <w:sz w:val="16"/>
                <w:szCs w:val="16"/>
                <w:color w:val="auto"/>
              </w:rPr>
              <w:t>Weighted Average Portfolio</w:t>
            </w: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$29.72</w:t>
            </w: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$30.04</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$30.12</w:t>
            </w: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$30.30</w:t>
            </w:r>
          </w:p>
        </w:tc>
      </w:tr>
    </w:tbl>
    <w:p>
      <w:pPr>
        <w:spacing w:after="0" w:line="270" w:lineRule="exact"/>
        <w:rPr>
          <w:sz w:val="20"/>
          <w:szCs w:val="20"/>
          <w:color w:val="auto"/>
        </w:rPr>
      </w:pPr>
    </w:p>
    <w:p>
      <w:pPr>
        <w:jc w:val="both"/>
        <w:ind w:left="5" w:right="20"/>
        <w:spacing w:after="0" w:line="276" w:lineRule="auto"/>
        <w:rPr>
          <w:sz w:val="20"/>
          <w:szCs w:val="20"/>
          <w:color w:val="auto"/>
        </w:rPr>
      </w:pPr>
      <w:r>
        <w:rPr>
          <w:rFonts w:ascii="Arial" w:cs="Arial" w:eastAsia="Arial" w:hAnsi="Arial"/>
          <w:sz w:val="16"/>
          <w:szCs w:val="16"/>
          <w:color w:val="auto"/>
        </w:rPr>
        <w:t>On a comparable basis (i.e., leases for which there was a former tenant in the past six months), our office and retail leasing spreads as of the end of the indicated quarter are shown below:</w:t>
      </w:r>
    </w:p>
    <w:p>
      <w:pPr>
        <w:spacing w:after="0" w:line="1" w:lineRule="exact"/>
        <w:rPr>
          <w:sz w:val="20"/>
          <w:szCs w:val="20"/>
          <w:color w:val="auto"/>
        </w:rPr>
      </w:pPr>
    </w:p>
    <w:tbl>
      <w:tblPr>
        <w:tblLayout w:type="fixed"/>
        <w:tblInd w:w="165"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4th Quarter 2025</w:t>
            </w: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1st Quarter 2026</w:t>
            </w: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2nd Quarter 2026</w:t>
            </w: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3rd Quarter 2026</w:t>
            </w:r>
          </w:p>
        </w:tc>
        <w:tc>
          <w:tcPr>
            <w:tcW w:w="0" w:type="dxa"/>
            <w:vAlign w:val="bottom"/>
          </w:tcPr>
          <w:p>
            <w:pPr>
              <w:spacing w:after="0"/>
              <w:rPr>
                <w:sz w:val="1"/>
                <w:szCs w:val="1"/>
                <w:color w:val="auto"/>
              </w:rPr>
            </w:pPr>
          </w:p>
        </w:tc>
      </w:tr>
      <w:tr>
        <w:trPr>
          <w:trHeight w:val="217"/>
        </w:trPr>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rPr>
              <w:t>Office</w:t>
            </w:r>
          </w:p>
        </w:tc>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Basis % Change Over Prior Rent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9.1%</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Straight-Line Basis % Change Over Prior Rent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11.5%</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10.6%</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47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Retail</w:t>
            </w:r>
          </w:p>
        </w:tc>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Basis % Change Over Prior Rent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(2.0)%</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7.4%</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Straight-Line Basis % Change Over Prior Rent</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6"/>
              </w:rPr>
              <w:t>24.3%</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8"/>
              </w:rPr>
              <w:t>1.3%</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20.2%</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16.8%</w:t>
            </w: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47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5"/>
          </w:cols>
          <w:pgMar w:left="315" w:top="1012" w:right="319" w:bottom="1440" w:gutter="0" w:footer="0" w:header="0"/>
        </w:sectPr>
      </w:pPr>
    </w:p>
    <w:bookmarkStart w:id="5" w:name="page6"/>
    <w:bookmarkEnd w:id="5"/>
    <w:p>
      <w:pPr>
        <w:ind w:left="5" w:right="40"/>
        <w:spacing w:after="0" w:line="276" w:lineRule="auto"/>
        <w:rPr>
          <w:sz w:val="20"/>
          <w:szCs w:val="20"/>
          <w:color w:val="auto"/>
        </w:rPr>
      </w:pPr>
      <w:r>
        <w:rPr>
          <w:rFonts w:ascii="Arial" w:cs="Arial" w:eastAsia="Arial" w:hAnsi="Arial"/>
          <w:sz w:val="16"/>
          <w:szCs w:val="16"/>
          <w:color w:val="auto"/>
        </w:rPr>
        <w:t>On a comparable basis (i.e., leases for which there was a former tenant in the past six months) during the three and nine months ended September 30, 2026, our office and retail leasing spreads are shown below:</w:t>
      </w:r>
    </w:p>
    <w:tbl>
      <w:tblPr>
        <w:tblLayout w:type="fixed"/>
        <w:tblInd w:w="165" w:type="dxa"/>
        <w:tblCellMar>
          <w:top w:w="0" w:type="dxa"/>
          <w:left w:w="0" w:type="dxa"/>
          <w:bottom w:w="0" w:type="dxa"/>
          <w:right w:w="0" w:type="dxa"/>
        </w:tblCellMar>
      </w:tblPr>
      <w:tr>
        <w:trPr>
          <w:trHeight w:val="159"/>
        </w:trPr>
        <w:tc>
          <w:tcPr>
            <w:tcW w:w="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Comparable Leased</w:t>
            </w: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Average Cash Basis %</w:t>
            </w:r>
          </w:p>
        </w:tc>
        <w:tc>
          <w:tcPr>
            <w:tcW w:w="20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Average Cash</w:t>
            </w:r>
          </w:p>
        </w:tc>
        <w:tc>
          <w:tcPr>
            <w:tcW w:w="1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Straight-Line Basis %</w:t>
            </w: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200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98"/>
              </w:rPr>
              <w:t>Contractual Rent Per Sq.</w:t>
            </w: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00" w:type="dxa"/>
            <w:vAlign w:val="bottom"/>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Leases Signed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Sq. Ft.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 Over Prior Rent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 Over Prior Rent</w:t>
            </w:r>
          </w:p>
        </w:tc>
        <w:tc>
          <w:tcPr>
            <w:tcW w:w="0" w:type="dxa"/>
            <w:vAlign w:val="bottom"/>
          </w:tcPr>
          <w:p>
            <w:pPr>
              <w:spacing w:after="0"/>
              <w:rPr>
                <w:sz w:val="1"/>
                <w:szCs w:val="1"/>
                <w:color w:val="auto"/>
              </w:rPr>
            </w:pPr>
          </w:p>
        </w:tc>
      </w:tr>
      <w:tr>
        <w:trPr>
          <w:trHeight w:val="217"/>
        </w:trPr>
        <w:tc>
          <w:tcPr>
            <w:tcW w:w="600" w:type="dxa"/>
            <w:vAlign w:val="bottom"/>
            <w:vMerge w:val="restart"/>
          </w:tcPr>
          <w:p>
            <w:pPr>
              <w:spacing w:after="0"/>
              <w:rPr>
                <w:sz w:val="20"/>
                <w:szCs w:val="20"/>
                <w:color w:val="auto"/>
              </w:rPr>
            </w:pPr>
            <w:r>
              <w:rPr>
                <w:rFonts w:ascii="Arial" w:cs="Arial" w:eastAsia="Arial" w:hAnsi="Arial"/>
                <w:sz w:val="16"/>
                <w:szCs w:val="16"/>
                <w:b w:val="1"/>
                <w:bCs w:val="1"/>
                <w:color w:val="auto"/>
              </w:rPr>
              <w:t>Office</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Q3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47,183</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$68.11</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117"/>
        </w:trPr>
        <w:tc>
          <w:tcPr>
            <w:tcW w:w="60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8"/>
              </w:rPr>
              <w:t>YTD Q3 2026</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rPr>
              <w:t>35</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6"/>
              </w:rPr>
              <w:t>231,055</w:t>
            </w: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w w:val="98"/>
              </w:rPr>
              <w:t>5.5%</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$61.60</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9.9%</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00" w:type="dxa"/>
            <w:vAlign w:val="bottom"/>
            <w:vMerge w:val="restart"/>
          </w:tcPr>
          <w:p>
            <w:pPr>
              <w:spacing w:after="0"/>
              <w:rPr>
                <w:sz w:val="20"/>
                <w:szCs w:val="20"/>
                <w:color w:val="auto"/>
              </w:rPr>
            </w:pPr>
            <w:r>
              <w:rPr>
                <w:rFonts w:ascii="Arial" w:cs="Arial" w:eastAsia="Arial" w:hAnsi="Arial"/>
                <w:sz w:val="16"/>
                <w:szCs w:val="16"/>
                <w:b w:val="1"/>
                <w:bCs w:val="1"/>
                <w:color w:val="auto"/>
              </w:rPr>
              <w:t>Retail</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Q3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94,158</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7.4%</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$35.40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16.8%</w:t>
            </w:r>
          </w:p>
        </w:tc>
        <w:tc>
          <w:tcPr>
            <w:tcW w:w="0" w:type="dxa"/>
            <w:vAlign w:val="bottom"/>
          </w:tcPr>
          <w:p>
            <w:pPr>
              <w:spacing w:after="0"/>
              <w:rPr>
                <w:sz w:val="1"/>
                <w:szCs w:val="1"/>
                <w:color w:val="auto"/>
              </w:rPr>
            </w:pPr>
          </w:p>
        </w:tc>
      </w:tr>
      <w:tr>
        <w:trPr>
          <w:trHeight w:val="117"/>
        </w:trPr>
        <w:tc>
          <w:tcPr>
            <w:tcW w:w="60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8"/>
              </w:rPr>
              <w:t>YTD Q3 2026</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rPr>
              <w:t>46</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6"/>
              </w:rPr>
              <w:t>265,579</w:t>
            </w: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w w:val="98"/>
              </w:rPr>
              <w:t>3.5%</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$38.76</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6"/>
              </w:rPr>
              <w:t>15.7%</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Multifamily</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average monthly base rent per occupied unit as of the end of the indicated quarter was as follows:</w:t>
      </w:r>
    </w:p>
    <w:p>
      <w:pPr>
        <w:spacing w:after="0" w:line="98"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55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4th Quarter 2025</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1st Quarter 2026</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2nd Quarter 2026</w:t>
            </w:r>
          </w:p>
        </w:tc>
        <w:tc>
          <w:tcPr>
            <w:tcW w:w="14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3rd Quarter 2026</w:t>
            </w:r>
          </w:p>
        </w:tc>
      </w:tr>
      <w:tr>
        <w:trPr>
          <w:trHeight w:val="205"/>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Monthly Base Rent per Occupied Unit</w:t>
            </w:r>
          </w:p>
        </w:tc>
        <w:tc>
          <w:tcPr>
            <w:tcW w:w="5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5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5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2,816</w:t>
            </w:r>
          </w:p>
        </w:tc>
      </w:tr>
    </w:tbl>
    <w:p>
      <w:pPr>
        <w:spacing w:after="0" w:line="314"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Same-Store Cash Net Operating Income</w:t>
      </w:r>
    </w:p>
    <w:p>
      <w:pPr>
        <w:spacing w:after="0" w:line="55" w:lineRule="exact"/>
        <w:rPr>
          <w:sz w:val="20"/>
          <w:szCs w:val="20"/>
          <w:color w:val="auto"/>
        </w:rPr>
      </w:pPr>
    </w:p>
    <w:p>
      <w:pPr>
        <w:jc w:val="both"/>
        <w:ind w:left="5" w:right="40"/>
        <w:spacing w:after="0" w:line="276" w:lineRule="auto"/>
        <w:rPr>
          <w:sz w:val="20"/>
          <w:szCs w:val="20"/>
          <w:color w:val="auto"/>
        </w:rPr>
      </w:pPr>
      <w:r>
        <w:rPr>
          <w:rFonts w:ascii="Arial" w:cs="Arial" w:eastAsia="Arial" w:hAnsi="Arial"/>
          <w:sz w:val="16"/>
          <w:szCs w:val="16"/>
          <w:color w:val="auto"/>
        </w:rPr>
        <w:t>For the three and nine months ended September 30, 2026, same-store cash NOI increased 8.3% and 2.3%, respectively, compared to the three and nine months ended September 30, 2025. The same-store cash NOI by segment was as follows (in thousands):</w:t>
      </w:r>
    </w:p>
    <w:p>
      <w:pPr>
        <w:spacing w:after="0" w:line="291"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5"/>
          </w:tcPr>
          <w:p>
            <w:pPr>
              <w:ind w:left="220"/>
              <w:spacing w:after="0"/>
              <w:rPr>
                <w:sz w:val="20"/>
                <w:szCs w:val="20"/>
                <w:color w:val="auto"/>
              </w:rPr>
            </w:pPr>
            <w:r>
              <w:rPr>
                <w:rFonts w:ascii="Arial" w:cs="Arial" w:eastAsia="Arial" w:hAnsi="Arial"/>
                <w:sz w:val="16"/>
                <w:szCs w:val="16"/>
                <w:b w:val="1"/>
                <w:bCs w:val="1"/>
                <w:color w:val="auto"/>
              </w:rPr>
              <w:t xml:space="preserve">Three Months Ended </w:t>
            </w:r>
            <w:r>
              <w:rPr>
                <w:rFonts w:ascii="Arial" w:cs="Arial" w:eastAsia="Arial" w:hAnsi="Arial"/>
                <w:sz w:val="20"/>
                <w:szCs w:val="20"/>
                <w:b w:val="1"/>
                <w:bCs w:val="1"/>
                <w:color w:val="auto"/>
                <w:vertAlign w:val="superscript"/>
              </w:rPr>
              <w:t>(1)</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6"/>
              </w:rPr>
              <w:t xml:space="preserve">Nine Months Ended </w:t>
            </w:r>
            <w:r>
              <w:rPr>
                <w:rFonts w:ascii="Arial" w:cs="Arial" w:eastAsia="Arial" w:hAnsi="Arial"/>
                <w:sz w:val="20"/>
                <w:szCs w:val="20"/>
                <w:b w:val="1"/>
                <w:bCs w:val="1"/>
                <w:color w:val="auto"/>
                <w:w w:val="96"/>
                <w:vertAlign w:val="superscript"/>
              </w:rPr>
              <w:t>(2)</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6"/>
        </w:trPr>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8"/>
              </w:rPr>
              <w:t>September 30,</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5"/>
        </w:trPr>
        <w:tc>
          <w:tcPr>
            <w:tcW w:w="28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95"/>
              </w:rPr>
              <w:t>2025</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Change</w:t>
            </w:r>
          </w:p>
        </w:tc>
      </w:tr>
      <w:tr>
        <w:trPr>
          <w:trHeight w:val="19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Basis: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Office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36,883</w:t>
            </w:r>
          </w:p>
        </w:tc>
        <w:tc>
          <w:tcPr>
            <w:tcW w:w="14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34,196</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360" w:type="dxa"/>
            <w:vAlign w:val="bottom"/>
          </w:tcPr>
          <w:p>
            <w:pPr>
              <w:jc w:val="right"/>
              <w:ind w:right="141"/>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107,330</w:t>
            </w:r>
          </w:p>
        </w:tc>
        <w:tc>
          <w:tcPr>
            <w:tcW w:w="80" w:type="dxa"/>
            <w:vAlign w:val="bottom"/>
          </w:tcPr>
          <w:p>
            <w:pPr>
              <w:spacing w:after="0"/>
              <w:rPr>
                <w:sz w:val="18"/>
                <w:szCs w:val="18"/>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105,368</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w w:val="98"/>
              </w:rPr>
              <w:t>%</w:t>
            </w: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380" w:type="dxa"/>
            <w:vAlign w:val="bottom"/>
            <w:shd w:val="clear" w:color="auto" w:fill="CCEEFF"/>
          </w:tcPr>
          <w:p>
            <w:pPr>
              <w:spacing w:after="0"/>
              <w:rPr>
                <w:sz w:val="18"/>
                <w:szCs w:val="18"/>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Multifamily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8,210</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26,046</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8"/>
                <w:szCs w:val="18"/>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Mixed-Use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380" w:type="dxa"/>
            <w:vAlign w:val="bottom"/>
            <w:shd w:val="clear" w:color="auto" w:fill="CCEEFF"/>
          </w:tcPr>
          <w:p>
            <w:pPr>
              <w:spacing w:after="0"/>
              <w:rPr>
                <w:sz w:val="18"/>
                <w:szCs w:val="18"/>
                <w:color w:val="auto"/>
              </w:rPr>
            </w:pPr>
          </w:p>
        </w:tc>
      </w:tr>
      <w:tr>
        <w:trPr>
          <w:trHeight w:val="205"/>
        </w:trPr>
        <w:tc>
          <w:tcPr>
            <w:tcW w:w="2840" w:type="dxa"/>
            <w:vAlign w:val="bottom"/>
          </w:tcPr>
          <w:p>
            <w:pPr>
              <w:ind w:left="20"/>
              <w:spacing w:after="0" w:line="205" w:lineRule="exact"/>
              <w:rPr>
                <w:sz w:val="20"/>
                <w:szCs w:val="20"/>
                <w:color w:val="auto"/>
              </w:rPr>
            </w:pPr>
            <w:r>
              <w:rPr>
                <w:rFonts w:ascii="Arial" w:cs="Arial" w:eastAsia="Arial" w:hAnsi="Arial"/>
                <w:sz w:val="16"/>
                <w:szCs w:val="16"/>
                <w:color w:val="auto"/>
              </w:rPr>
              <w:t xml:space="preserve">Same-store Cash NOI </w:t>
            </w:r>
            <w:r>
              <w:rPr>
                <w:rFonts w:ascii="Arial" w:cs="Arial" w:eastAsia="Arial" w:hAnsi="Arial"/>
                <w:sz w:val="20"/>
                <w:szCs w:val="20"/>
                <w:color w:val="auto"/>
                <w:vertAlign w:val="superscript"/>
              </w:rPr>
              <w:t>(3)</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69,759</w:t>
            </w:r>
          </w:p>
        </w:tc>
        <w:tc>
          <w:tcPr>
            <w:tcW w:w="14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w:t>
            </w:r>
          </w:p>
        </w:tc>
        <w:tc>
          <w:tcPr>
            <w:tcW w:w="360" w:type="dxa"/>
            <w:vAlign w:val="bottom"/>
          </w:tcPr>
          <w:p>
            <w:pPr>
              <w:jc w:val="right"/>
              <w:ind w:right="141"/>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202,334</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197,768</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w w:val="98"/>
              </w:rPr>
              <w:t>%</w:t>
            </w:r>
          </w:p>
        </w:tc>
      </w:tr>
      <w:tr>
        <w:trPr>
          <w:trHeight w:val="20"/>
        </w:trPr>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27" w:lineRule="exact"/>
        <w:rPr>
          <w:sz w:val="20"/>
          <w:szCs w:val="20"/>
          <w:color w:val="auto"/>
        </w:rPr>
      </w:pPr>
    </w:p>
    <w:p>
      <w:pPr>
        <w:ind w:left="285" w:right="360" w:hanging="285"/>
        <w:spacing w:after="0" w:line="259" w:lineRule="auto"/>
        <w:tabs>
          <w:tab w:leader="none" w:pos="259" w:val="left"/>
        </w:tabs>
        <w:numPr>
          <w:ilvl w:val="0"/>
          <w:numId w:val="5"/>
        </w:numPr>
        <w:rPr>
          <w:rFonts w:ascii="Arial" w:cs="Arial" w:eastAsia="Arial" w:hAnsi="Arial"/>
          <w:sz w:val="11"/>
          <w:szCs w:val="11"/>
          <w:color w:val="auto"/>
        </w:rPr>
      </w:pPr>
      <w:r>
        <w:rPr>
          <w:rFonts w:ascii="Arial" w:cs="Arial" w:eastAsia="Arial" w:hAnsi="Arial"/>
          <w:sz w:val="11"/>
          <w:szCs w:val="11"/>
          <w:color w:val="auto"/>
        </w:rPr>
        <w:t>For the three months ended September 30, 2026, the same-store portfolio includes: (i) Genesee Park (multifamily), which was acquired on February 28, 2025, and (ii) La Jolla Commons III (office), which was placed into service on April 1, 2025. The same-store portfolio excludes land held for development.</w:t>
      </w:r>
    </w:p>
    <w:p>
      <w:pPr>
        <w:ind w:left="285" w:right="300" w:hanging="285"/>
        <w:spacing w:after="0" w:line="269" w:lineRule="auto"/>
        <w:tabs>
          <w:tab w:leader="none" w:pos="259" w:val="left"/>
        </w:tabs>
        <w:numPr>
          <w:ilvl w:val="0"/>
          <w:numId w:val="5"/>
        </w:numPr>
        <w:rPr>
          <w:rFonts w:ascii="Arial" w:cs="Arial" w:eastAsia="Arial" w:hAnsi="Arial"/>
          <w:sz w:val="11"/>
          <w:szCs w:val="11"/>
          <w:color w:val="auto"/>
        </w:rPr>
      </w:pPr>
      <w:r>
        <w:rPr>
          <w:rFonts w:ascii="Arial" w:cs="Arial" w:eastAsia="Arial" w:hAnsi="Arial"/>
          <w:sz w:val="11"/>
          <w:szCs w:val="11"/>
          <w:color w:val="auto"/>
        </w:rPr>
        <w:t>For the nine months ended September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5"/>
        </w:numPr>
        <w:rPr>
          <w:rFonts w:ascii="Arial" w:cs="Arial" w:eastAsia="Arial" w:hAnsi="Arial"/>
          <w:sz w:val="11"/>
          <w:szCs w:val="11"/>
          <w:color w:val="auto"/>
        </w:rPr>
      </w:pPr>
      <w:r>
        <w:rPr>
          <w:rFonts w:ascii="Arial" w:cs="Arial" w:eastAsia="Arial" w:hAnsi="Arial"/>
          <w:sz w:val="11"/>
          <w:szCs w:val="11"/>
          <w:color w:val="auto"/>
        </w:rPr>
        <w:t>Lease termination fees and tenant improvement reimbursements are excluded from same-store cash NOI to provide a more accurate measure of operating performance.</w:t>
      </w:r>
    </w:p>
    <w:p>
      <w:pPr>
        <w:spacing w:after="0" w:line="239" w:lineRule="exact"/>
        <w:rPr>
          <w:sz w:val="20"/>
          <w:szCs w:val="20"/>
          <w:color w:val="auto"/>
        </w:rPr>
      </w:pPr>
    </w:p>
    <w:p>
      <w:pPr>
        <w:ind w:left="5" w:right="480"/>
        <w:spacing w:after="0" w:line="276" w:lineRule="auto"/>
        <w:rPr>
          <w:sz w:val="20"/>
          <w:szCs w:val="20"/>
          <w:color w:val="auto"/>
        </w:rPr>
      </w:pPr>
      <w:r>
        <w:rPr>
          <w:rFonts w:ascii="Arial" w:cs="Arial" w:eastAsia="Arial" w:hAnsi="Arial"/>
          <w:sz w:val="16"/>
          <w:szCs w:val="16"/>
          <w:color w:val="auto"/>
        </w:rPr>
        <w:t>Same-store cash NOI is a non-GAAP supplemental earnings measure which the company considers meaningful in measuring its operating performance. A reconciliation of same-store cash NOI to net income is attached to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5"/>
          </w:cols>
          <w:pgMar w:left="315" w:top="799"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Balance Sheet and Liquidity</w:t>
      </w:r>
    </w:p>
    <w:p>
      <w:pPr>
        <w:spacing w:after="0" w:line="21"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At September 30, 2026, the company had gross real estate assets of $3.8 billion and liquidity of $589.6 million, comprised of cash and cash equivalents of $89.6 million and $500.0 million of availability on its line of credit. At September 30, 2026, the company had only 1 out of 31 assets encumbered by a mortgage.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Dividends</w:t>
      </w:r>
    </w:p>
    <w:p>
      <w:pPr>
        <w:spacing w:after="0" w:line="5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The company declared dividends on its shares of common stock of $0.34 per share for the third quarter of 2026. The dividends were paid on September 17, 2026.</w:t>
      </w:r>
    </w:p>
    <w:p>
      <w:pPr>
        <w:spacing w:after="0" w:line="168"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In addition, the company has declared a dividend on its common stock of $0.34 per share for the fourth quarter of 2026. The dividend will be paid in cash on December 17, 2026 to stockholders of record as of December 10, 2026.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Guidance</w:t>
      </w:r>
    </w:p>
    <w:p>
      <w:pPr>
        <w:spacing w:after="0" w:line="55"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company increased its 2026 FFO per diluted share guidance to a range of $2.04 to $2.10 per share, an increase of $0.04 at midpoint from the prior 2026 FFO per diluted share guidance range of $1.96 to $2.10 per share.</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company's guidance excludes any impact from future acquisitions, dispositions, equity issuances or repurchases, debt financing or repayments. The foregoing estimates are forward-looking and reflect management's view of current and future market conditions, including certain assumptions with respect to leasing activity, rental rates, occupancy levels, interest rates, credit spreads and the amount and timing of acquisition and development activities. The company's actual results may differ materially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55"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The company will hold a conference call to discuss the results for the third quarter of 2026 on Wednesday, October 28, 2026 at 8:00 a.m. Pacific Time. To participate in the event by telephone, please dial 1-833-816-1162 and ask to join the American Assets Trust, Inc. conference call. A live on-demand audio webcast of the conference call will be available on the company's website at www.americanassetstrust.com. A replay of the call will also be available on the company's website.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Supplemental Information</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Supplemental financial information regarding the company's third quarter 2026 results may be found on the "Financial Reporting" tab of the “Investors” page of the company's website at </w:t>
      </w:r>
      <w:r>
        <w:rPr>
          <w:rFonts w:ascii="Arial" w:cs="Arial" w:eastAsia="Arial" w:hAnsi="Arial"/>
          <w:sz w:val="16"/>
          <w:szCs w:val="16"/>
          <w:u w:val="single" w:color="auto"/>
          <w:color w:val="0000FF"/>
        </w:rPr>
        <w:t>www.americanassetstrust.com</w:t>
      </w:r>
      <w:r>
        <w:rPr>
          <w:rFonts w:ascii="Arial" w:cs="Arial" w:eastAsia="Arial" w:hAnsi="Arial"/>
          <w:sz w:val="16"/>
          <w:szCs w:val="16"/>
          <w:color w:val="auto"/>
        </w:rPr>
        <w:t>. This supplemental information provides additional detail on items such as property occupancy, financial performance by property and debt maturity schedules.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00"/>
          </w:cols>
          <w:pgMar w:left="320" w:top="797"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American Assets Trust,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9"/>
              </w:rPr>
              <w:t>September 30, 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05"/>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8"/>
              </w:rPr>
              <w:t>(unaudited)</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 at cost</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400"/>
              <w:spacing w:after="0"/>
              <w:rPr>
                <w:sz w:val="20"/>
                <w:szCs w:val="20"/>
                <w:color w:val="auto"/>
              </w:rPr>
            </w:pPr>
            <w:r>
              <w:rPr>
                <w:rFonts w:ascii="Arial" w:cs="Arial" w:eastAsia="Arial" w:hAnsi="Arial"/>
                <w:sz w:val="16"/>
                <w:szCs w:val="16"/>
                <w:color w:val="auto"/>
              </w:rPr>
              <w:t>Operating real estate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3,724,574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3,694,203</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Construction in progress</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68,937</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Held for development</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3,817,717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3,763,627</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(1,213,965)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(1,144,259)</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 estate</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2,603,752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2,619,368</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89,613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129,362</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Arial" w:cs="Arial" w:eastAsia="Arial" w:hAnsi="Arial"/>
                <w:sz w:val="16"/>
                <w:szCs w:val="16"/>
                <w:color w:val="auto"/>
              </w:rPr>
              <w:t>Deferred rent receivables, net</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84,771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84,642</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80,497</w:t>
            </w:r>
          </w:p>
        </w:tc>
        <w:tc>
          <w:tcPr>
            <w:tcW w:w="0" w:type="dxa"/>
            <w:vAlign w:val="bottom"/>
          </w:tcPr>
          <w:p>
            <w:pPr>
              <w:spacing w:after="0"/>
              <w:rPr>
                <w:sz w:val="1"/>
                <w:szCs w:val="1"/>
                <w:color w:val="auto"/>
              </w:rPr>
            </w:pPr>
          </w:p>
        </w:tc>
      </w:tr>
      <w:tr>
        <w:trPr>
          <w:trHeight w:val="205"/>
        </w:trPr>
        <w:tc>
          <w:tcPr>
            <w:tcW w:w="6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2,866,166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2,921,276</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Secured notes payable, net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74,849</w:t>
            </w:r>
          </w:p>
        </w:tc>
        <w:tc>
          <w:tcPr>
            <w:tcW w:w="0" w:type="dxa"/>
            <w:vAlign w:val="bottom"/>
          </w:tcPr>
          <w:p>
            <w:pPr>
              <w:spacing w:after="0"/>
              <w:rPr>
                <w:sz w:val="1"/>
                <w:szCs w:val="1"/>
                <w:color w:val="auto"/>
              </w:rPr>
            </w:pPr>
          </w:p>
        </w:tc>
      </w:tr>
      <w:tr>
        <w:trPr>
          <w:trHeight w:val="213"/>
        </w:trPr>
        <w:tc>
          <w:tcPr>
            <w:tcW w:w="6840" w:type="dxa"/>
            <w:vAlign w:val="bottom"/>
          </w:tcPr>
          <w:p>
            <w:pPr>
              <w:ind w:left="400"/>
              <w:spacing w:after="0"/>
              <w:rPr>
                <w:sz w:val="20"/>
                <w:szCs w:val="20"/>
                <w:color w:val="auto"/>
              </w:rPr>
            </w:pPr>
            <w:r>
              <w:rPr>
                <w:rFonts w:ascii="Arial" w:cs="Arial" w:eastAsia="Arial" w:hAnsi="Arial"/>
                <w:sz w:val="16"/>
                <w:szCs w:val="16"/>
                <w:color w:val="auto"/>
              </w:rPr>
              <w:t>Unsecured notes payable, net</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1,613,618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1,612,761</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71,094</w:t>
            </w:r>
          </w:p>
        </w:tc>
        <w:tc>
          <w:tcPr>
            <w:tcW w:w="0" w:type="dxa"/>
            <w:vAlign w:val="bottom"/>
          </w:tcPr>
          <w:p>
            <w:pPr>
              <w:spacing w:after="0"/>
              <w:rPr>
                <w:sz w:val="1"/>
                <w:szCs w:val="1"/>
                <w:color w:val="auto"/>
              </w:rPr>
            </w:pPr>
          </w:p>
        </w:tc>
      </w:tr>
      <w:tr>
        <w:trPr>
          <w:trHeight w:val="213"/>
        </w:trPr>
        <w:tc>
          <w:tcPr>
            <w:tcW w:w="6840" w:type="dxa"/>
            <w:vAlign w:val="bottom"/>
          </w:tcPr>
          <w:p>
            <w:pPr>
              <w:ind w:left="400"/>
              <w:spacing w:after="0"/>
              <w:rPr>
                <w:sz w:val="20"/>
                <w:szCs w:val="20"/>
                <w:color w:val="auto"/>
              </w:rPr>
            </w:pPr>
            <w:r>
              <w:rPr>
                <w:rFonts w:ascii="Arial" w:cs="Arial" w:eastAsia="Arial" w:hAnsi="Arial"/>
                <w:sz w:val="16"/>
                <w:szCs w:val="16"/>
                <w:color w:val="auto"/>
              </w:rPr>
              <w:t>Security deposits payable</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11,366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10,063</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liabilities and deferred credits, net</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61,304</w:t>
            </w:r>
          </w:p>
        </w:tc>
        <w:tc>
          <w:tcPr>
            <w:tcW w:w="0" w:type="dxa"/>
            <w:vAlign w:val="bottom"/>
          </w:tcPr>
          <w:p>
            <w:pPr>
              <w:spacing w:after="0"/>
              <w:rPr>
                <w:sz w:val="1"/>
                <w:szCs w:val="1"/>
                <w:color w:val="auto"/>
              </w:rPr>
            </w:pPr>
          </w:p>
        </w:tc>
      </w:tr>
      <w:tr>
        <w:trPr>
          <w:trHeight w:val="205"/>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1,827,582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1,830,071</w:t>
            </w:r>
          </w:p>
        </w:tc>
        <w:tc>
          <w:tcPr>
            <w:tcW w:w="0" w:type="dxa"/>
            <w:vAlign w:val="bottom"/>
          </w:tcPr>
          <w:p>
            <w:pPr>
              <w:spacing w:after="0"/>
              <w:rPr>
                <w:sz w:val="1"/>
                <w:szCs w:val="1"/>
                <w:color w:val="auto"/>
              </w:rPr>
            </w:pPr>
          </w:p>
        </w:tc>
      </w:tr>
      <w:tr>
        <w:trPr>
          <w:trHeight w:val="19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American Assets Trust, Inc. stockholders' equity</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840" w:type="dxa"/>
            <w:vAlign w:val="bottom"/>
          </w:tcPr>
          <w:p>
            <w:pPr>
              <w:ind w:left="620"/>
              <w:spacing w:after="0" w:line="165" w:lineRule="exact"/>
              <w:rPr>
                <w:sz w:val="20"/>
                <w:szCs w:val="20"/>
                <w:color w:val="auto"/>
              </w:rPr>
            </w:pPr>
            <w:r>
              <w:rPr>
                <w:rFonts w:ascii="Arial" w:cs="Arial" w:eastAsia="Arial" w:hAnsi="Arial"/>
                <w:sz w:val="16"/>
                <w:szCs w:val="16"/>
                <w:color w:val="auto"/>
              </w:rPr>
              <w:t>Common stock, $0.01 par value, 490,000,000 shares authorized, 61,402,515 and</w:t>
            </w: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40" w:type="dxa"/>
            <w:vAlign w:val="bottom"/>
          </w:tcPr>
          <w:p>
            <w:pPr>
              <w:ind w:left="620"/>
              <w:spacing w:after="0" w:line="163" w:lineRule="exact"/>
              <w:rPr>
                <w:sz w:val="20"/>
                <w:szCs w:val="20"/>
                <w:color w:val="auto"/>
              </w:rPr>
            </w:pPr>
            <w:r>
              <w:rPr>
                <w:rFonts w:ascii="Arial" w:cs="Arial" w:eastAsia="Arial" w:hAnsi="Arial"/>
                <w:sz w:val="16"/>
                <w:szCs w:val="16"/>
                <w:color w:val="auto"/>
              </w:rPr>
              <w:t>61,390,936 shares issued and outstanding at September 30, 2026 and December 31,</w:t>
            </w: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620"/>
              <w:spacing w:after="0"/>
              <w:rPr>
                <w:sz w:val="20"/>
                <w:szCs w:val="20"/>
                <w:color w:val="auto"/>
              </w:rPr>
            </w:pPr>
            <w:r>
              <w:rPr>
                <w:rFonts w:ascii="Arial" w:cs="Arial" w:eastAsia="Arial" w:hAnsi="Arial"/>
                <w:sz w:val="16"/>
                <w:szCs w:val="16"/>
                <w:color w:val="auto"/>
              </w:rPr>
              <w:t>2025, respectively</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1,479,870</w:t>
            </w:r>
          </w:p>
        </w:tc>
        <w:tc>
          <w:tcPr>
            <w:tcW w:w="0" w:type="dxa"/>
            <w:vAlign w:val="bottom"/>
          </w:tcPr>
          <w:p>
            <w:pPr>
              <w:spacing w:after="0"/>
              <w:rPr>
                <w:sz w:val="1"/>
                <w:szCs w:val="1"/>
                <w:color w:val="auto"/>
              </w:rPr>
            </w:pP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Accumulated dividends in excess of net income</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(374,975)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(331,086)</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05"/>
        </w:trPr>
        <w:tc>
          <w:tcPr>
            <w:tcW w:w="6840" w:type="dxa"/>
            <w:vAlign w:val="bottom"/>
          </w:tcPr>
          <w:p>
            <w:pPr>
              <w:ind w:left="400"/>
              <w:spacing w:after="0"/>
              <w:rPr>
                <w:sz w:val="20"/>
                <w:szCs w:val="20"/>
                <w:color w:val="auto"/>
              </w:rPr>
            </w:pPr>
            <w:r>
              <w:rPr>
                <w:rFonts w:ascii="Arial" w:cs="Arial" w:eastAsia="Arial" w:hAnsi="Arial"/>
                <w:sz w:val="16"/>
                <w:szCs w:val="16"/>
                <w:color w:val="auto"/>
              </w:rPr>
              <w:t>Total American Assets Trust, Inc. stockholders' equity</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1,110,332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1,150,817</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(59,612)</w:t>
            </w:r>
          </w:p>
        </w:tc>
        <w:tc>
          <w:tcPr>
            <w:tcW w:w="0" w:type="dxa"/>
            <w:vAlign w:val="bottom"/>
          </w:tcPr>
          <w:p>
            <w:pPr>
              <w:spacing w:after="0"/>
              <w:rPr>
                <w:sz w:val="1"/>
                <w:szCs w:val="1"/>
                <w:color w:val="auto"/>
              </w:rPr>
            </w:pPr>
          </w:p>
        </w:tc>
      </w:tr>
      <w:tr>
        <w:trPr>
          <w:trHeight w:val="205"/>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1,091,205</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2,866,166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2,921,276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6"/>
                <w:szCs w:val="16"/>
                <w:color w:val="auto"/>
              </w:rPr>
              <w:t>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0"/>
        </w:trPr>
        <w:tc>
          <w:tcPr>
            <w:tcW w:w="6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7"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American Assets Trust,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Shares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78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rPr>
              <w:t>Nine Months Ended September 30,</w:t>
            </w:r>
          </w:p>
        </w:tc>
      </w:tr>
      <w:tr>
        <w:trPr>
          <w:trHeight w:val="193"/>
        </w:trPr>
        <w:tc>
          <w:tcPr>
            <w:tcW w:w="51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19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Rental income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107,837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102,222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315,374</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306,243</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property income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6,447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18,985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19,875</w:t>
            </w:r>
          </w:p>
        </w:tc>
      </w:tr>
      <w:tr>
        <w:trPr>
          <w:trHeight w:val="205"/>
        </w:trPr>
        <w:tc>
          <w:tcPr>
            <w:tcW w:w="51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114,284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109,578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334,359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326,118</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Rental expenses</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33,605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31,768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97,094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91,746</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33,179</w:t>
            </w: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8,659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26,354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27,662</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33,029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32,014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98,052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95,290</w:t>
            </w:r>
          </w:p>
        </w:tc>
      </w:tr>
      <w:tr>
        <w:trPr>
          <w:trHeight w:val="205"/>
        </w:trPr>
        <w:tc>
          <w:tcPr>
            <w:tcW w:w="514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84,838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84,811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252,782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247,877</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real estate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44,476</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29,446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24,767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81,577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122,717</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(58,337)</w:t>
            </w:r>
          </w:p>
        </w:tc>
      </w:tr>
      <w:tr>
        <w:trPr>
          <w:trHeight w:val="213"/>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2,769</w:t>
            </w:r>
          </w:p>
        </w:tc>
      </w:tr>
      <w:tr>
        <w:trPr>
          <w:trHeight w:val="20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23,547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67,149</w:t>
            </w: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Net income attributable to restricted shares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unitholders in the Operating Partnership</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(14,033)</w:t>
            </w:r>
          </w:p>
        </w:tc>
      </w:tr>
      <w:tr>
        <w:trPr>
          <w:trHeight w:val="205"/>
        </w:trPr>
        <w:tc>
          <w:tcPr>
            <w:tcW w:w="53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Net income attributable to American Assets Trust, Inc. stockholders </w:t>
            </w: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7,726</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4,509</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18,035</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52,500</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attributable to common stockholders per share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140" w:type="dxa"/>
            <w:vAlign w:val="bottom"/>
          </w:tcPr>
          <w:p>
            <w:pPr>
              <w:ind w:left="180"/>
              <w:spacing w:after="0" w:line="181" w:lineRule="exact"/>
              <w:rPr>
                <w:sz w:val="20"/>
                <w:szCs w:val="20"/>
                <w:color w:val="auto"/>
              </w:rPr>
            </w:pPr>
            <w:r>
              <w:rPr>
                <w:rFonts w:ascii="Arial" w:cs="Arial" w:eastAsia="Arial" w:hAnsi="Arial"/>
                <w:sz w:val="16"/>
                <w:szCs w:val="16"/>
                <w:color w:val="auto"/>
              </w:rPr>
              <w:t>Weighted average shares of common stock outstanding - basic</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60,715,491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60,546,480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60,705,574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60,541,335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Diluted income attributable to common stockholders per share</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0.87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shares of common stock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76,897,028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76,728,017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76,887,111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76,722,872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0.340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0.340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16"/>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8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60"/>
          </w:cols>
          <w:pgMar w:left="320" w:top="797" w:right="319" w:bottom="1440" w:gutter="0" w:footer="0" w:header="0"/>
        </w:sectPr>
      </w:pPr>
    </w:p>
    <w:bookmarkStart w:id="9" w:name="page10"/>
    <w:bookmarkEnd w:id="9"/>
    <w:p>
      <w:pPr>
        <w:ind w:left="5"/>
        <w:spacing w:after="0"/>
        <w:rPr>
          <w:sz w:val="20"/>
          <w:szCs w:val="20"/>
          <w:color w:val="auto"/>
        </w:rPr>
      </w:pPr>
      <w:r>
        <w:rPr>
          <w:rFonts w:ascii="Arial" w:cs="Arial" w:eastAsia="Arial" w:hAnsi="Arial"/>
          <w:sz w:val="16"/>
          <w:szCs w:val="16"/>
          <w:b w:val="1"/>
          <w:bCs w:val="1"/>
          <w:color w:val="auto"/>
        </w:rPr>
        <w:t>Reconciliation of Net Income to Funds From Operations</w:t>
      </w:r>
    </w:p>
    <w:p>
      <w:pPr>
        <w:spacing w:after="0" w:line="21" w:lineRule="exact"/>
        <w:rPr>
          <w:sz w:val="20"/>
          <w:szCs w:val="20"/>
          <w:color w:val="auto"/>
        </w:rPr>
      </w:pPr>
    </w:p>
    <w:p>
      <w:pPr>
        <w:ind w:left="5" w:right="460"/>
        <w:spacing w:after="0" w:line="258" w:lineRule="auto"/>
        <w:rPr>
          <w:sz w:val="20"/>
          <w:szCs w:val="20"/>
          <w:color w:val="auto"/>
        </w:rPr>
      </w:pPr>
      <w:r>
        <w:rPr>
          <w:rFonts w:ascii="Arial" w:cs="Arial" w:eastAsia="Arial" w:hAnsi="Arial"/>
          <w:sz w:val="16"/>
          <w:szCs w:val="16"/>
          <w:color w:val="auto"/>
        </w:rPr>
        <w:t>The company's FFO attributable to common stockholders and operating partnership unitholders and reconciliation to net income is as follows (in thousands except shares and per share data, unaudited):</w:t>
      </w:r>
    </w:p>
    <w:p>
      <w:pPr>
        <w:spacing w:after="0" w:line="14"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Three Months Ended</w:t>
            </w:r>
          </w:p>
        </w:tc>
        <w:tc>
          <w:tcPr>
            <w:tcW w:w="320" w:type="dxa"/>
            <w:vAlign w:val="bottom"/>
          </w:tcPr>
          <w:p>
            <w:pPr>
              <w:spacing w:after="0"/>
              <w:rPr>
                <w:sz w:val="18"/>
                <w:szCs w:val="18"/>
                <w:color w:val="auto"/>
              </w:rPr>
            </w:pPr>
          </w:p>
        </w:tc>
        <w:tc>
          <w:tcPr>
            <w:tcW w:w="2000" w:type="dxa"/>
            <w:vAlign w:val="bottom"/>
          </w:tcPr>
          <w:p>
            <w:pPr>
              <w:jc w:val="right"/>
              <w:ind w:right="341"/>
              <w:spacing w:after="0"/>
              <w:rPr>
                <w:sz w:val="20"/>
                <w:szCs w:val="20"/>
                <w:color w:val="auto"/>
              </w:rPr>
            </w:pPr>
            <w:r>
              <w:rPr>
                <w:rFonts w:ascii="Arial" w:cs="Arial" w:eastAsia="Arial" w:hAnsi="Arial"/>
                <w:sz w:val="16"/>
                <w:szCs w:val="16"/>
                <w:b w:val="1"/>
                <w:bCs w:val="1"/>
                <w:color w:val="auto"/>
              </w:rPr>
              <w:t>Nine Months Ended</w:t>
            </w:r>
          </w:p>
        </w:tc>
      </w:tr>
      <w:tr>
        <w:trPr>
          <w:trHeight w:val="20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September 30, 2026</w:t>
            </w:r>
          </w:p>
        </w:tc>
        <w:tc>
          <w:tcPr>
            <w:tcW w:w="320" w:type="dxa"/>
            <w:vAlign w:val="bottom"/>
          </w:tcPr>
          <w:p>
            <w:pPr>
              <w:spacing w:after="0"/>
              <w:rPr>
                <w:sz w:val="17"/>
                <w:szCs w:val="17"/>
                <w:color w:val="auto"/>
              </w:rPr>
            </w:pPr>
          </w:p>
        </w:tc>
        <w:tc>
          <w:tcPr>
            <w:tcW w:w="2000" w:type="dxa"/>
            <w:vAlign w:val="bottom"/>
          </w:tcPr>
          <w:p>
            <w:pPr>
              <w:jc w:val="right"/>
              <w:ind w:right="341"/>
              <w:spacing w:after="0"/>
              <w:rPr>
                <w:sz w:val="20"/>
                <w:szCs w:val="20"/>
                <w:color w:val="auto"/>
              </w:rPr>
            </w:pPr>
            <w:r>
              <w:rPr>
                <w:rFonts w:ascii="Arial" w:cs="Arial" w:eastAsia="Arial" w:hAnsi="Arial"/>
                <w:sz w:val="16"/>
                <w:szCs w:val="16"/>
                <w:b w:val="1"/>
                <w:bCs w:val="1"/>
                <w:color w:val="auto"/>
              </w:rPr>
              <w:t>September 30, 2026</w:t>
            </w:r>
          </w:p>
        </w:tc>
      </w:tr>
      <w:tr>
        <w:trPr>
          <w:trHeight w:val="19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Funds From Operations (FFO)</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10,018</w:t>
            </w:r>
          </w:p>
        </w:tc>
        <w:tc>
          <w:tcPr>
            <w:tcW w:w="14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
              <w:spacing w:after="0"/>
              <w:rPr>
                <w:sz w:val="20"/>
                <w:szCs w:val="20"/>
                <w:color w:val="auto"/>
              </w:rPr>
            </w:pPr>
            <w:r>
              <w:rPr>
                <w:rFonts w:ascii="Arial" w:cs="Arial" w:eastAsia="Arial" w:hAnsi="Arial"/>
                <w:sz w:val="16"/>
                <w:szCs w:val="16"/>
                <w:color w:val="auto"/>
              </w:rPr>
              <w:t>23,547</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of real estate assets</w:t>
            </w: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98,052</w:t>
            </w:r>
          </w:p>
        </w:tc>
      </w:tr>
      <w:tr>
        <w:trPr>
          <w:trHeight w:val="205"/>
        </w:trPr>
        <w:tc>
          <w:tcPr>
            <w:tcW w:w="6480" w:type="dxa"/>
            <w:vAlign w:val="bottom"/>
          </w:tcPr>
          <w:p>
            <w:pPr>
              <w:ind w:left="20"/>
              <w:spacing w:after="0"/>
              <w:rPr>
                <w:sz w:val="20"/>
                <w:szCs w:val="20"/>
                <w:color w:val="auto"/>
              </w:rPr>
            </w:pPr>
            <w:r>
              <w:rPr>
                <w:rFonts w:ascii="Arial" w:cs="Arial" w:eastAsia="Arial" w:hAnsi="Arial"/>
                <w:sz w:val="16"/>
                <w:szCs w:val="16"/>
                <w:color w:val="auto"/>
              </w:rPr>
              <w:t>FFO, as defined by NAREIT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43,047</w:t>
            </w:r>
          </w:p>
        </w:tc>
        <w:tc>
          <w:tcPr>
            <w:tcW w:w="140" w:type="dxa"/>
            <w:vAlign w:val="bottom"/>
          </w:tcPr>
          <w:p>
            <w:pPr>
              <w:spacing w:after="0"/>
              <w:rPr>
                <w:sz w:val="17"/>
                <w:szCs w:val="17"/>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
              <w:spacing w:after="0"/>
              <w:rPr>
                <w:sz w:val="20"/>
                <w:szCs w:val="20"/>
                <w:color w:val="auto"/>
              </w:rPr>
            </w:pPr>
            <w:r>
              <w:rPr>
                <w:rFonts w:ascii="Arial" w:cs="Arial" w:eastAsia="Arial" w:hAnsi="Arial"/>
                <w:sz w:val="16"/>
                <w:szCs w:val="16"/>
                <w:color w:val="auto"/>
              </w:rPr>
              <w:t>121,599</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Nonforfeitable dividends on restricted stock awards</w:t>
            </w: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05"/>
        </w:trPr>
        <w:tc>
          <w:tcPr>
            <w:tcW w:w="6480" w:type="dxa"/>
            <w:vAlign w:val="bottom"/>
          </w:tcPr>
          <w:p>
            <w:pPr>
              <w:ind w:left="20"/>
              <w:spacing w:after="0"/>
              <w:rPr>
                <w:sz w:val="20"/>
                <w:szCs w:val="20"/>
                <w:color w:val="auto"/>
              </w:rPr>
            </w:pPr>
            <w:r>
              <w:rPr>
                <w:rFonts w:ascii="Arial" w:cs="Arial" w:eastAsia="Arial" w:hAnsi="Arial"/>
                <w:sz w:val="16"/>
                <w:szCs w:val="16"/>
                <w:color w:val="auto"/>
              </w:rPr>
              <w:t>FFO attributable to common stock and units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42,832</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120,952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FFO per diluted share/unit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6480" w:type="dxa"/>
            <w:vAlign w:val="bottom"/>
          </w:tcPr>
          <w:p>
            <w:pPr>
              <w:ind w:left="20"/>
              <w:spacing w:after="0" w:line="181" w:lineRule="exact"/>
              <w:rPr>
                <w:sz w:val="20"/>
                <w:szCs w:val="20"/>
                <w:color w:val="auto"/>
              </w:rPr>
            </w:pPr>
            <w:r>
              <w:rPr>
                <w:rFonts w:ascii="Arial" w:cs="Arial" w:eastAsia="Arial" w:hAnsi="Arial"/>
                <w:sz w:val="16"/>
                <w:szCs w:val="16"/>
                <w:color w:val="auto"/>
              </w:rPr>
              <w:t>Weighted average number of common shares and units, diluted</w:t>
            </w: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76,912,958</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
              <w:spacing w:after="0" w:line="181" w:lineRule="exact"/>
              <w:rPr>
                <w:sz w:val="20"/>
                <w:szCs w:val="20"/>
                <w:color w:val="auto"/>
              </w:rPr>
            </w:pPr>
            <w:r>
              <w:rPr>
                <w:rFonts w:ascii="Arial" w:cs="Arial" w:eastAsia="Arial" w:hAnsi="Arial"/>
                <w:sz w:val="16"/>
                <w:szCs w:val="16"/>
                <w:color w:val="auto"/>
              </w:rPr>
              <w:t>76,899,707</w:t>
            </w: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Reconciliation of Same-Store Cash NOI to Net Income</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company's reconciliation of same-store cash NOI to net income is as follows (in thousands, unaudited):</w:t>
      </w:r>
    </w:p>
    <w:p>
      <w:pPr>
        <w:spacing w:after="0" w:line="19"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ind w:left="240"/>
              <w:spacing w:after="0"/>
              <w:rPr>
                <w:sz w:val="20"/>
                <w:szCs w:val="20"/>
                <w:color w:val="auto"/>
              </w:rPr>
            </w:pPr>
            <w:r>
              <w:rPr>
                <w:rFonts w:ascii="Arial" w:cs="Arial" w:eastAsia="Arial" w:hAnsi="Arial"/>
                <w:sz w:val="16"/>
                <w:szCs w:val="16"/>
                <w:b w:val="1"/>
                <w:bCs w:val="1"/>
                <w:color w:val="auto"/>
              </w:rPr>
              <w:t xml:space="preserve">Three Months Ended </w:t>
            </w:r>
            <w:r>
              <w:rPr>
                <w:rFonts w:ascii="Arial" w:cs="Arial" w:eastAsia="Arial" w:hAnsi="Arial"/>
                <w:sz w:val="20"/>
                <w:szCs w:val="20"/>
                <w:b w:val="1"/>
                <w:bCs w:val="1"/>
                <w:color w:val="auto"/>
                <w:vertAlign w:val="superscript"/>
              </w:rPr>
              <w:t>(1)</w:t>
            </w:r>
          </w:p>
        </w:tc>
        <w:tc>
          <w:tcPr>
            <w:tcW w:w="300" w:type="dxa"/>
            <w:vAlign w:val="bottom"/>
          </w:tcPr>
          <w:p>
            <w:pPr>
              <w:spacing w:after="0"/>
              <w:rPr>
                <w:sz w:val="19"/>
                <w:szCs w:val="19"/>
                <w:color w:val="auto"/>
              </w:rPr>
            </w:pPr>
          </w:p>
        </w:tc>
        <w:tc>
          <w:tcPr>
            <w:tcW w:w="2460" w:type="dxa"/>
            <w:vAlign w:val="bottom"/>
            <w:gridSpan w:val="4"/>
          </w:tcPr>
          <w:p>
            <w:pPr>
              <w:jc w:val="right"/>
              <w:ind w:right="481"/>
              <w:spacing w:after="0"/>
              <w:rPr>
                <w:sz w:val="20"/>
                <w:szCs w:val="20"/>
                <w:color w:val="auto"/>
              </w:rPr>
            </w:pPr>
            <w:r>
              <w:rPr>
                <w:rFonts w:ascii="Arial" w:cs="Arial" w:eastAsia="Arial" w:hAnsi="Arial"/>
                <w:sz w:val="16"/>
                <w:szCs w:val="16"/>
                <w:b w:val="1"/>
                <w:bCs w:val="1"/>
                <w:color w:val="auto"/>
              </w:rPr>
              <w:t xml:space="preserve">Nine Months Ended </w:t>
            </w:r>
            <w:r>
              <w:rPr>
                <w:rFonts w:ascii="Arial" w:cs="Arial" w:eastAsia="Arial" w:hAnsi="Arial"/>
                <w:sz w:val="20"/>
                <w:szCs w:val="20"/>
                <w:b w:val="1"/>
                <w:bCs w:val="1"/>
                <w:color w:val="auto"/>
                <w:vertAlign w:val="superscript"/>
              </w:rPr>
              <w:t>(2)</w:t>
            </w:r>
          </w:p>
        </w:tc>
      </w:tr>
      <w:tr>
        <w:trPr>
          <w:trHeight w:val="20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89"/>
              </w:rPr>
              <w:t>2025</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95"/>
              </w:rPr>
              <w:t>2025</w:t>
            </w: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Same-store cash NOI</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69,759</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202,334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197,768</w:t>
            </w:r>
          </w:p>
        </w:tc>
      </w:tr>
      <w:tr>
        <w:trPr>
          <w:trHeight w:val="213"/>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Non-same-store cash NOI</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05"/>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NOI</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69,671</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202,233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197,452</w:t>
            </w:r>
          </w:p>
        </w:tc>
      </w:tr>
      <w:tr>
        <w:trPr>
          <w:trHeight w:val="213"/>
        </w:trPr>
        <w:tc>
          <w:tcPr>
            <w:tcW w:w="562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Lease termination fees and tenant improvement reimbursements </w:t>
            </w:r>
            <w:r>
              <w:rPr>
                <w:rFonts w:ascii="Arial" w:cs="Arial" w:eastAsia="Arial" w:hAnsi="Arial"/>
                <w:sz w:val="20"/>
                <w:szCs w:val="20"/>
                <w:color w:val="auto"/>
                <w:vertAlign w:val="superscript"/>
              </w:rPr>
              <w:t>(3)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3,396</w:t>
            </w:r>
          </w:p>
        </w:tc>
      </w:tr>
      <w:tr>
        <w:trPr>
          <w:trHeight w:val="213"/>
        </w:trPr>
        <w:tc>
          <w:tcPr>
            <w:tcW w:w="562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Non-cash revenue and other operating expenses </w:t>
            </w:r>
            <w:r>
              <w:rPr>
                <w:rFonts w:ascii="Arial" w:cs="Arial" w:eastAsia="Arial" w:hAnsi="Arial"/>
                <w:sz w:val="20"/>
                <w:szCs w:val="20"/>
                <w:color w:val="auto"/>
                <w:vertAlign w:val="superscript"/>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r>
      <w:tr>
        <w:trPr>
          <w:trHeight w:val="213"/>
        </w:trPr>
        <w:tc>
          <w:tcPr>
            <w:tcW w:w="56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(8,659)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(27,662)</w:t>
            </w:r>
          </w:p>
        </w:tc>
      </w:tr>
      <w:tr>
        <w:trPr>
          <w:trHeight w:val="21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(95,290)</w:t>
            </w:r>
          </w:p>
        </w:tc>
      </w:tr>
      <w:tr>
        <w:trPr>
          <w:trHeight w:val="213"/>
        </w:trPr>
        <w:tc>
          <w:tcPr>
            <w:tcW w:w="56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(19,971)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(58,337)</w:t>
            </w:r>
          </w:p>
        </w:tc>
      </w:tr>
      <w:tr>
        <w:trPr>
          <w:trHeight w:val="21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real estate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44,476</w:t>
            </w:r>
          </w:p>
        </w:tc>
      </w:tr>
      <w:tr>
        <w:trPr>
          <w:trHeight w:val="213"/>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2,769</w:t>
            </w: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23,547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67,149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properties included in same-store analysis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29</w:t>
            </w:r>
          </w:p>
        </w:tc>
      </w:tr>
    </w:tbl>
    <w:p>
      <w:pPr>
        <w:spacing w:after="0" w:line="269" w:lineRule="exact"/>
        <w:rPr>
          <w:sz w:val="20"/>
          <w:szCs w:val="20"/>
          <w:color w:val="auto"/>
        </w:rPr>
      </w:pPr>
    </w:p>
    <w:p>
      <w:pPr>
        <w:ind w:left="285" w:right="360" w:hanging="285"/>
        <w:spacing w:after="0" w:line="271" w:lineRule="auto"/>
        <w:tabs>
          <w:tab w:leader="none" w:pos="259"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the three months ended September 30, 2026, the same-store portfolio includes: (i) Genesee Park (multifamily), which was acquired on February 28, 2025, and (ii) La Jolla Commons III (office), which was placed into service on April 1, 2025. The same-store portfolio excludes land held for development.</w:t>
      </w:r>
    </w:p>
    <w:p>
      <w:pPr>
        <w:ind w:left="285" w:right="300" w:hanging="285"/>
        <w:spacing w:after="0" w:line="267" w:lineRule="auto"/>
        <w:tabs>
          <w:tab w:leader="none" w:pos="259"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the nine months ended September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6"/>
        </w:numPr>
        <w:rPr>
          <w:rFonts w:ascii="Arial" w:cs="Arial" w:eastAsia="Arial" w:hAnsi="Arial"/>
          <w:sz w:val="11"/>
          <w:szCs w:val="11"/>
          <w:color w:val="auto"/>
        </w:rPr>
      </w:pPr>
      <w:r>
        <w:rPr>
          <w:rFonts w:ascii="Arial" w:cs="Arial" w:eastAsia="Arial" w:hAnsi="Arial"/>
          <w:sz w:val="11"/>
          <w:szCs w:val="11"/>
          <w:color w:val="auto"/>
        </w:rPr>
        <w:t>Lease termination fees and tenant improvement reimbursements are excluded from same-store cash NOI to provide a more accurate measure of operating performance.</w:t>
      </w:r>
    </w:p>
    <w:p>
      <w:pPr>
        <w:spacing w:after="0" w:line="17" w:lineRule="exact"/>
        <w:rPr>
          <w:rFonts w:ascii="Arial" w:cs="Arial" w:eastAsia="Arial" w:hAnsi="Arial"/>
          <w:sz w:val="11"/>
          <w:szCs w:val="11"/>
          <w:color w:val="auto"/>
        </w:rPr>
      </w:pPr>
    </w:p>
    <w:p>
      <w:pPr>
        <w:ind w:left="285" w:right="220" w:hanging="285"/>
        <w:spacing w:after="0" w:line="272" w:lineRule="auto"/>
        <w:tabs>
          <w:tab w:leader="none" w:pos="25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 of the Annex at The Landmark at One Market.</w:t>
      </w:r>
    </w:p>
    <w:p>
      <w:pPr>
        <w:spacing w:after="0" w:line="200" w:lineRule="exact"/>
        <w:rPr>
          <w:sz w:val="20"/>
          <w:szCs w:val="20"/>
          <w:color w:val="auto"/>
        </w:rPr>
      </w:pPr>
    </w:p>
    <w:p>
      <w:pPr>
        <w:spacing w:after="0" w:line="208" w:lineRule="exact"/>
        <w:rPr>
          <w:sz w:val="20"/>
          <w:szCs w:val="20"/>
          <w:color w:val="auto"/>
        </w:rPr>
      </w:pPr>
    </w:p>
    <w:p>
      <w:pPr>
        <w:ind w:left="5" w:right="240"/>
        <w:spacing w:after="0" w:line="276" w:lineRule="auto"/>
        <w:rPr>
          <w:sz w:val="20"/>
          <w:szCs w:val="20"/>
          <w:color w:val="auto"/>
        </w:rPr>
      </w:pPr>
      <w:r>
        <w:rPr>
          <w:rFonts w:ascii="Arial" w:cs="Arial" w:eastAsia="Arial" w:hAnsi="Arial"/>
          <w:sz w:val="16"/>
          <w:szCs w:val="16"/>
          <w:color w:val="auto"/>
        </w:rPr>
        <w:t>Reported results are preliminary and not final until the filing of the company's Form 10-Q with the Securities and Exchange Commission and, therefore, remain subject to adjustment.</w:t>
      </w:r>
    </w:p>
    <w:p>
      <w:pPr>
        <w:spacing w:after="0" w:line="200" w:lineRule="exact"/>
        <w:rPr>
          <w:sz w:val="20"/>
          <w:szCs w:val="20"/>
          <w:color w:val="auto"/>
        </w:rPr>
      </w:pPr>
    </w:p>
    <w:p>
      <w:pPr>
        <w:spacing w:after="0" w:line="24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5"/>
          </w:cols>
          <w:pgMar w:left="315" w:top="797"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Use of Non-GAAP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Funds from Operations</w:t>
      </w:r>
    </w:p>
    <w:p>
      <w:pPr>
        <w:spacing w:after="0" w:line="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company calculates FFO in accordance with the standards established by the National Association of Real Estate Investment Trusts ("NAREIT"). FFO represents net income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FFO is a supplemental non-GAAP financial measure. Management uses FFO as a supplemental performance measure because it believes that FFO is beneficial to investors as a starting point in measuring the company's operational performance. Specifically, in excluding real estate related depreciation and amortization and gains and losses from property dispositions, which do not relate to or are not indicative of operating performance, FFO provides a performance measure that, when compared year-over-year, captures trends in occupancy rates, rental rates and operating costs. The company also believes that, as a widely recognized measure of the performance of REITs, FFO will be used by investors as a basis to compare the company's operating performance with that of other REITs. However, because FFO excludes depreciation and amortization and captures neither the changes in the value of the company's properties that result from use or market conditions nor the level of capital expenditures and leasing commissions necessary to maintain the operating performance of the company's properties, all of which have real economic effects and could materially impact the company's results from operations, the utility of FFO as a measure of the company's performance is limited. In addition, other equity REITs may not calculate FFO in accordance with the NAREIT definition as the company does, and, accordingly, the company's FFO may not be comparable to such other REITs' FFO. Accordingly, FFO should be considered only as a supplement to net income as a measure of the company's performance. FFO should not be used as a measure of the company's liquidity, nor is it indicative of funds available to fund the company's cash needs, including the company's ability to pay dividends or service indebtedness. FFO also should not be used as a supplement to or substitute for cash flow from operating activities computed in accordance with GAAP.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Net Operating Income</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uses cash NOI internally to evaluate and compare the operating performance of the company's properties. The company believes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The company believes the exclusion of these items from net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Cash NOI is a non-GAAP financial measure of performance. The company defines cash NOI as operating revenues (rental income, tenant reimbursements (other than tenant improvement reimbursements), ground lease rental income and other property income) less property and 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the company's cash NOI may not be comparable to the cash NOIs of other REITs.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797"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About American Assets Trust, Inc.</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American Assets Trust, Inc. is a full service, vertically integrated and self-administered real estate investment trust ("REIT"), headquartered in San Diego, California. The company has over 55 years of experience in acquiring, improving, developing and managing premier office, retail, and residential properties throughout the United States in some of the nation’s most dynamic, high-barrier-to-entry markets primarily in Southern California, Northern California, Washington, Oregon, Texas and Hawaii. The company's office portfolio comprises approximately 4.3 million rentable square feet, and its retail portfolio comprises approximately 2.4 million rentable square feet. In addition, the company owns one mixed-use property (including approximately 94,000 rentable square feet of retail space and a 369-room all-suite hotel) and 2,302 multifamily units. In 2011, the company was formed to succeed to the real estate business of American Assets, Inc., a privately held corporation founded in 1967 and, as such, has significant experience, long-standing relationships and extensive knowledge of its core markets, submarkets and asset classes. For additional information, please visit www.americanassetstrust.com.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press release may contain forward-looking statements within the meaning of the federal securities laws, which are based on current expectations, forecasts and assumptions that involve risks and uncertainties that could cause actual outcomes and results to differ materially.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 While forward-looking statements reflect the company's good faith beliefs, assumptions and expectations, they are not guarantees of future performance. For a further discussion of these and other factors that could cause the company's future results to differ materially from any forward-looking statements, see the section entitled “Risk Factors” in the company's most recent annual report on Form 10-K, and other risks described in documents subsequently filed by the company from time to time with the Securities and Exchange Commission. The company disclaims any obligation to publicly update or revise any forward-looking statement to reflect changes in underlying assumptions or factors, of new information, data or methods, future events or other changes.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 American Assets Trust, Inc.</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and 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American Assets Trust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F. Barton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858-350-2607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97" w:right="339" w:bottom="1440" w:gutter="0" w:footer="0" w:header="0"/>
        </w:sectPr>
      </w:pPr>
    </w:p>
    <w:bookmarkStart w:id="12" w:name="page13"/>
    <w:bookmarkEnd w:id="12"/>
    <w:p>
      <w:pPr>
        <w:ind w:left="360"/>
        <w:spacing w:after="0"/>
        <w:rPr>
          <w:sz w:val="20"/>
          <w:szCs w:val="20"/>
          <w:color w:val="auto"/>
        </w:rPr>
      </w:pPr>
      <w:r>
        <w:rPr>
          <w:rFonts w:ascii="Times New Roman" w:cs="Times New Roman" w:eastAsia="Times New Roman" w:hAnsi="Times New Roman"/>
          <w:sz w:val="43"/>
          <w:szCs w:val="43"/>
          <w:b w:val="1"/>
          <w:bCs w:val="1"/>
          <w:color w:val="003399"/>
        </w:rPr>
        <w:drawing>
          <wp:anchor simplePos="0" relativeHeight="251657728" behindDoc="1" locked="0" layoutInCell="0" allowOverlap="1">
            <wp:simplePos x="0" y="0"/>
            <wp:positionH relativeFrom="page">
              <wp:posOffset>200025</wp:posOffset>
            </wp:positionH>
            <wp:positionV relativeFrom="page">
              <wp:posOffset>779780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t>THIRD QUARTER 2026</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5"/>
          <w:szCs w:val="35"/>
          <w:b w:val="1"/>
          <w:bCs w:val="1"/>
          <w:color w:val="00339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135890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608965</wp:posOffset>
            </wp:positionV>
            <wp:extent cx="7204075" cy="2147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214757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3169920</wp:posOffset>
            </wp:positionV>
            <wp:extent cx="1411605" cy="735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1605" cy="73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Investor and Media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American Assets Trust,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Robert F. Barton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Executive Vice President and Chief Financial Officer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003399"/>
        </w:rPr>
        <w:t>858-350-2607</w:t>
      </w:r>
    </w:p>
    <w:p>
      <w:pPr>
        <w:sectPr>
          <w:pgSz w:w="11900" w:h="16838" w:orient="portrait"/>
          <w:cols w:equalWidth="0" w:num="1">
            <w:col w:w="10119"/>
          </w:cols>
          <w:pgMar w:left="340" w:top="1427" w:right="1440" w:bottom="1440" w:gutter="0" w:footer="0" w:header="0"/>
        </w:sectPr>
      </w:pPr>
    </w:p>
    <w:bookmarkStart w:id="13" w:name="page14"/>
    <w:bookmarkEnd w:id="13"/>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307975"/>
                    </a:xfrm>
                    <a:prstGeom prst="rect">
                      <a:avLst/>
                    </a:prstGeom>
                    <a:noFill/>
                  </pic:spPr>
                </pic:pic>
              </a:graphicData>
            </a:graphic>
          </wp:anchor>
        </w:drawing>
        <w:t>American Assets Trust, Inc.'s Portfolio is concentrated in high-barrier-to-entry markets</w:t>
      </w:r>
    </w:p>
    <w:p>
      <w:pPr>
        <w:spacing w:after="0" w:line="42"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9"/>
          <w:szCs w:val="19"/>
          <w:b w:val="1"/>
          <w:bCs w:val="1"/>
          <w:color w:val="auto"/>
        </w:rPr>
        <w:t>with favorable supply/demand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980180" cy="289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0180" cy="289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300" w:type="dxa"/>
        <w:tblCellMar>
          <w:top w:w="0" w:type="dxa"/>
          <w:left w:w="0" w:type="dxa"/>
          <w:bottom w:w="0" w:type="dxa"/>
          <w:right w:w="0" w:type="dxa"/>
        </w:tblCellMar>
      </w:tblPr>
      <w:tr>
        <w:trPr>
          <w:trHeight w:val="284"/>
        </w:trPr>
        <w:tc>
          <w:tcPr>
            <w:tcW w:w="1040" w:type="dxa"/>
            <w:vAlign w:val="bottom"/>
            <w:tcBorders>
              <w:top w:val="single" w:sz="8" w:color="auto"/>
              <w:left w:val="single" w:sz="8" w:color="auto"/>
              <w:right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Office</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1000" w:type="dxa"/>
            <w:vAlign w:val="bottom"/>
            <w:tcBorders>
              <w:top w:val="single" w:sz="8" w:color="auto"/>
              <w:bottom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Multifamily</w:t>
            </w:r>
          </w:p>
        </w:tc>
        <w:tc>
          <w:tcPr>
            <w:tcW w:w="1260" w:type="dxa"/>
            <w:vAlign w:val="bottom"/>
            <w:tcBorders>
              <w:top w:val="single" w:sz="8" w:color="auto"/>
              <w:bottom w:val="single" w:sz="8" w:color="auto"/>
              <w:right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6"/>
                <w:szCs w:val="16"/>
                <w:color w:val="auto"/>
              </w:rPr>
              <w:t>Mixed-Use</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Market</w:t>
            </w:r>
          </w:p>
        </w:tc>
        <w:tc>
          <w:tcPr>
            <w:tcW w:w="840" w:type="dxa"/>
            <w:vAlign w:val="bottom"/>
            <w:tcBorders>
              <w:right w:val="single" w:sz="8" w:color="auto"/>
            </w:tcBorders>
          </w:tcPr>
          <w:p>
            <w:pPr>
              <w:jc w:val="center"/>
              <w:ind w:left="1"/>
              <w:spacing w:after="0" w:line="165" w:lineRule="exact"/>
              <w:rPr>
                <w:sz w:val="20"/>
                <w:szCs w:val="20"/>
                <w:color w:val="auto"/>
              </w:rPr>
            </w:pPr>
            <w:r>
              <w:rPr>
                <w:rFonts w:ascii="Times New Roman" w:cs="Times New Roman" w:eastAsia="Times New Roman" w:hAnsi="Times New Roman"/>
                <w:sz w:val="16"/>
                <w:szCs w:val="16"/>
                <w:color w:val="auto"/>
                <w:w w:val="98"/>
              </w:rPr>
              <w:t>Square</w:t>
            </w:r>
          </w:p>
        </w:tc>
        <w:tc>
          <w:tcPr>
            <w:tcW w:w="840" w:type="dxa"/>
            <w:vAlign w:val="bottom"/>
            <w:tcBorders>
              <w:right w:val="single" w:sz="8" w:color="auto"/>
            </w:tcBorders>
          </w:tcPr>
          <w:p>
            <w:pPr>
              <w:jc w:val="center"/>
              <w:ind w:left="1"/>
              <w:spacing w:after="0" w:line="165" w:lineRule="exact"/>
              <w:rPr>
                <w:sz w:val="20"/>
                <w:szCs w:val="20"/>
                <w:color w:val="auto"/>
              </w:rPr>
            </w:pPr>
            <w:r>
              <w:rPr>
                <w:rFonts w:ascii="Times New Roman" w:cs="Times New Roman" w:eastAsia="Times New Roman" w:hAnsi="Times New Roman"/>
                <w:sz w:val="16"/>
                <w:szCs w:val="16"/>
                <w:color w:val="auto"/>
                <w:w w:val="98"/>
              </w:rPr>
              <w:t>Square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Units</w:t>
            </w:r>
          </w:p>
        </w:tc>
        <w:tc>
          <w:tcPr>
            <w:tcW w:w="2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Square</w:t>
            </w:r>
          </w:p>
        </w:tc>
        <w:tc>
          <w:tcPr>
            <w:tcW w:w="600" w:type="dxa"/>
            <w:vAlign w:val="bottom"/>
            <w:tcBorders>
              <w:right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Suites</w:t>
            </w:r>
          </w:p>
        </w:tc>
        <w:tc>
          <w:tcPr>
            <w:tcW w:w="0" w:type="dxa"/>
            <w:vAlign w:val="bottom"/>
          </w:tcPr>
          <w:p>
            <w:pPr>
              <w:spacing w:after="0"/>
              <w:rPr>
                <w:sz w:val="1"/>
                <w:szCs w:val="1"/>
                <w:color w:val="auto"/>
              </w:rPr>
            </w:pPr>
          </w:p>
        </w:tc>
      </w:tr>
      <w:tr>
        <w:trPr>
          <w:trHeight w:val="124"/>
        </w:trPr>
        <w:tc>
          <w:tcPr>
            <w:tcW w:w="1040" w:type="dxa"/>
            <w:vAlign w:val="bottom"/>
            <w:tcBorders>
              <w:left w:val="single" w:sz="8" w:color="auto"/>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Feet</w:t>
            </w:r>
          </w:p>
        </w:tc>
        <w:tc>
          <w:tcPr>
            <w:tcW w:w="72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Feet</w:t>
            </w:r>
          </w:p>
        </w:tc>
        <w:tc>
          <w:tcPr>
            <w:tcW w:w="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San Diego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1,802,809</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1,322,200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8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(1)</w:t>
            </w: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rPr>
              <w:t>Bellevue</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1,028,470</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Portland</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930,903</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44,236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San Antonio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588,148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7"/>
                <w:shd w:val="clear" w:color="auto" w:fill="0A2299"/>
              </w:rPr>
              <w:t>San Francisco</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511,493</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35,097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Oahu</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430,288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6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shd w:val="clear" w:color="auto" w:fill="0A2299"/>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Total</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4,273,675</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2,419,969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6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50"/>
          </w:cols>
          <w:pgMar w:left="330" w:top="11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
        <w:spacing w:after="0" w:line="236" w:lineRule="auto"/>
        <w:rPr>
          <w:sz w:val="20"/>
          <w:szCs w:val="20"/>
          <w:color w:val="auto"/>
        </w:rPr>
      </w:pPr>
      <w:r>
        <w:rPr>
          <w:rFonts w:ascii="Times New Roman" w:cs="Times New Roman" w:eastAsia="Times New Roman" w:hAnsi="Times New Roman"/>
          <w:sz w:val="13"/>
          <w:szCs w:val="13"/>
          <w:color w:val="auto"/>
        </w:rPr>
        <w:t>Note: Circled areas represent all markets in which American Assets Trust, Inc. currently owns and operates its real estate properties. Net rentable square footage may be adjusted from the prior periods to reflect re-measurement of leased space at the properties.</w:t>
      </w:r>
    </w:p>
    <w:p>
      <w:pPr>
        <w:spacing w:after="0" w:line="1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Data is as of September 30, 2026.</w:t>
      </w:r>
    </w:p>
    <w:p>
      <w:pPr>
        <w:spacing w:after="0" w:line="40" w:lineRule="exact"/>
        <w:rPr>
          <w:sz w:val="20"/>
          <w:szCs w:val="20"/>
          <w:color w:val="auto"/>
        </w:rPr>
      </w:pPr>
    </w:p>
    <w:p>
      <w:pPr>
        <w:ind w:left="170" w:hanging="170"/>
        <w:spacing w:after="0"/>
        <w:tabs>
          <w:tab w:leader="none" w:pos="17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120 RV spaces.</w:t>
      </w:r>
    </w:p>
    <w:p>
      <w:pPr>
        <w:spacing w:after="0" w:line="39" w:lineRule="exact"/>
        <w:rPr>
          <w:rFonts w:ascii="Times New Roman" w:cs="Times New Roman" w:eastAsia="Times New Roman" w:hAnsi="Times New Roman"/>
          <w:sz w:val="13"/>
          <w:szCs w:val="13"/>
          <w:color w:val="auto"/>
        </w:rPr>
      </w:pPr>
    </w:p>
    <w:p>
      <w:pPr>
        <w:ind w:left="210" w:hanging="210"/>
        <w:spacing w:after="0" w:line="220" w:lineRule="auto"/>
        <w:tabs>
          <w:tab w:leader="none" w:pos="17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of Net Operating Income (NOI) calculated for the three months ended September 30, 2026. NOI is a non-GAAP supplemental earnings measure which we consider meaningful in measuring our operating performance. Reconciliations of NOI to net income are included in the Glossary of Terms.</w:t>
      </w:r>
    </w:p>
    <w:p>
      <w:pPr>
        <w:spacing w:after="0" w:line="26" w:lineRule="exact"/>
        <w:rPr>
          <w:rFonts w:ascii="Times New Roman" w:cs="Times New Roman" w:eastAsia="Times New Roman" w:hAnsi="Times New Roman"/>
          <w:sz w:val="13"/>
          <w:szCs w:val="13"/>
          <w:color w:val="auto"/>
        </w:rPr>
      </w:pPr>
    </w:p>
    <w:p>
      <w:pPr>
        <w:ind w:left="170" w:hanging="170"/>
        <w:spacing w:after="0"/>
        <w:tabs>
          <w:tab w:leader="none" w:pos="17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include mixed-use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353060</wp:posOffset>
            </wp:positionV>
            <wp:extent cx="7149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shd w:val="clear" w:color="auto" w:fill="999999"/>
          </w:tcPr>
          <w:p>
            <w:pPr>
              <w:spacing w:after="0"/>
              <w:rPr>
                <w:sz w:val="19"/>
                <w:szCs w:val="19"/>
                <w:color w:val="auto"/>
              </w:rPr>
            </w:pPr>
          </w:p>
        </w:tc>
        <w:tc>
          <w:tcPr>
            <w:tcW w:w="980" w:type="dxa"/>
            <w:vAlign w:val="bottom"/>
            <w:gridSpan w:val="2"/>
            <w:shd w:val="clear" w:color="auto" w:fill="999999"/>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Square Feet</w:t>
            </w:r>
          </w:p>
        </w:tc>
        <w:tc>
          <w:tcPr>
            <w:tcW w:w="740" w:type="dxa"/>
            <w:vAlign w:val="bottom"/>
            <w:shd w:val="clear" w:color="auto" w:fill="99999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999999"/>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NOI % </w:t>
            </w:r>
            <w:r>
              <w:rPr>
                <w:rFonts w:ascii="Times New Roman" w:cs="Times New Roman" w:eastAsia="Times New Roman" w:hAnsi="Times New Roman"/>
                <w:sz w:val="20"/>
                <w:szCs w:val="20"/>
                <w:b w:val="1"/>
                <w:bCs w:val="1"/>
                <w:color w:val="auto"/>
                <w:w w:val="94"/>
                <w:vertAlign w:val="superscript"/>
              </w:rPr>
              <w:t>(2)</w:t>
            </w:r>
          </w:p>
        </w:tc>
      </w:tr>
      <w:tr>
        <w:trPr>
          <w:trHeight w:val="225"/>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64%</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53%</w:t>
            </w:r>
          </w:p>
        </w:tc>
      </w:tr>
      <w:tr>
        <w:trPr>
          <w:trHeight w:val="212"/>
        </w:trPr>
        <w:tc>
          <w:tcPr>
            <w:tcW w:w="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0"/>
                <w:szCs w:val="20"/>
                <w:b w:val="1"/>
                <w:bCs w:val="1"/>
                <w:color w:val="auto"/>
                <w:vertAlign w:val="superscript"/>
              </w:rPr>
              <w:t>(3)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36%</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26%</w:t>
            </w:r>
          </w:p>
        </w:tc>
      </w:tr>
      <w:tr>
        <w:trPr>
          <w:trHeight w:val="205"/>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979" w:lineRule="exact"/>
        <w:rPr>
          <w:sz w:val="20"/>
          <w:szCs w:val="20"/>
          <w:color w:val="auto"/>
        </w:rPr>
      </w:pPr>
    </w:p>
    <w:p>
      <w:pPr>
        <w:sectPr>
          <w:pgSz w:w="11900" w:h="16838" w:orient="portrait"/>
          <w:cols w:equalWidth="0" w:num="2">
            <w:col w:w="7670" w:space="40"/>
            <w:col w:w="3540"/>
          </w:cols>
          <w:pgMar w:left="330" w:top="1189" w:right="319" w:bottom="1440" w:gutter="0" w:footer="0" w:header="0"/>
          <w:type w:val="continuous"/>
        </w:sectPr>
      </w:pPr>
    </w:p>
    <w:p>
      <w:pPr>
        <w:spacing w:after="0" w:line="375" w:lineRule="exact"/>
        <w:rPr>
          <w:sz w:val="20"/>
          <w:szCs w:val="20"/>
          <w:color w:val="auto"/>
        </w:rPr>
      </w:pPr>
    </w:p>
    <w:p>
      <w:pPr>
        <w:ind w:left="10"/>
        <w:spacing w:after="0"/>
        <w:tabs>
          <w:tab w:leader="none" w:pos="10789"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w:t>
      </w:r>
    </w:p>
    <w:p>
      <w:pPr>
        <w:sectPr>
          <w:pgSz w:w="11900" w:h="16838" w:orient="portrait"/>
          <w:cols w:equalWidth="0" w:num="1">
            <w:col w:w="11250"/>
          </w:cols>
          <w:pgMar w:left="330" w:top="1189" w:right="31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26605" cy="30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307975"/>
                    </a:xfrm>
                    <a:prstGeom prst="rect">
                      <a:avLst/>
                    </a:prstGeom>
                    <a:noFill/>
                  </pic:spPr>
                </pic:pic>
              </a:graphicData>
            </a:graphic>
          </wp:anchor>
        </w:drawing>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266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342265</wp:posOffset>
            </wp:positionV>
            <wp:extent cx="70815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1520" cy="12001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THIRD QUARTER 2026 SUPPLEMENTAL INFORMATION</w:t>
      </w:r>
    </w:p>
    <w:p>
      <w:pPr>
        <w:spacing w:after="0" w:line="40" w:lineRule="exact"/>
        <w:rPr>
          <w:sz w:val="20"/>
          <w:szCs w:val="20"/>
          <w:color w:val="auto"/>
        </w:rPr>
      </w:pPr>
    </w:p>
    <w:p>
      <w:pPr>
        <w:ind w:left="320" w:hanging="310"/>
        <w:spacing w:after="0"/>
        <w:tabs>
          <w:tab w:leader="none" w:pos="32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HIGHLIGHTS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 w:type="dxa"/>
            <w:vAlign w:val="bottom"/>
            <w:shd w:val="clear" w:color="auto" w:fill="CCEEFF"/>
          </w:tcPr>
          <w:p>
            <w:pPr>
              <w:spacing w:after="0"/>
              <w:rPr>
                <w:sz w:val="16"/>
                <w:szCs w:val="16"/>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Consolidated Balance Sheets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5</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Consolidated Statements of Operations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6</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Funds From Operations (FFO) &amp; Funds Available for Distribution</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7</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Guidance</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9</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Same-Store Net Operating Income (NOI)</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10</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Same-Store Cash NOI Comparison</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12</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NOI By Region</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13</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NOI Breakdown</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14</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Revenue and Operating Expenses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15</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Capital Expenditures</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18</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Summary of Outstanding Debt</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19</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Market Capitalization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20</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Summary of Development Opportunities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21</w:t>
            </w:r>
          </w:p>
        </w:tc>
      </w:tr>
      <w:tr>
        <w:trPr>
          <w:trHeight w:val="168"/>
        </w:trPr>
        <w:tc>
          <w:tcPr>
            <w:tcW w:w="2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81"/>
              </w:rPr>
              <w:t>2.</w:t>
            </w: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PORTFOLIO DATA</w:t>
            </w:r>
          </w:p>
        </w:tc>
        <w:tc>
          <w:tcPr>
            <w:tcW w:w="3800" w:type="dxa"/>
            <w:vAlign w:val="bottom"/>
          </w:tcPr>
          <w:p>
            <w:pPr>
              <w:spacing w:after="0"/>
              <w:rPr>
                <w:sz w:val="14"/>
                <w:szCs w:val="14"/>
                <w:color w:val="auto"/>
              </w:rPr>
            </w:pP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Report</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23</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 Leasing Summary</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26</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Retail Leasing Summary</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27</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 Leasing Summary</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28</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Mixed-Use Leasing Summary</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30</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Expirations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31</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Portfolio Leased Statistics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33</w:t>
            </w:r>
          </w:p>
        </w:tc>
      </w:tr>
      <w:tr>
        <w:trPr>
          <w:trHeight w:val="168"/>
        </w:trPr>
        <w:tc>
          <w:tcPr>
            <w:tcW w:w="220" w:type="dxa"/>
            <w:vAlign w:val="bottom"/>
          </w:tcPr>
          <w:p>
            <w:pPr>
              <w:spacing w:after="0"/>
              <w:rPr>
                <w:sz w:val="14"/>
                <w:szCs w:val="14"/>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Top Tenants - Office</w:t>
            </w:r>
          </w:p>
        </w:tc>
        <w:tc>
          <w:tcPr>
            <w:tcW w:w="3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00FF"/>
              </w:rPr>
              <w:t>34</w:t>
            </w: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9"/>
        </w:trPr>
        <w:tc>
          <w:tcPr>
            <w:tcW w:w="220" w:type="dxa"/>
            <w:vAlign w:val="bottom"/>
            <w:tcBorders>
              <w:bottom w:val="single" w:sz="8" w:color="CCEEFF"/>
            </w:tcBorders>
            <w:shd w:val="clear" w:color="auto" w:fill="CCEEFF"/>
          </w:tcPr>
          <w:p>
            <w:pPr>
              <w:spacing w:after="0"/>
              <w:rPr>
                <w:sz w:val="14"/>
                <w:szCs w:val="14"/>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Top Tenants - Retail</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35</w:t>
            </w:r>
          </w:p>
        </w:tc>
      </w:tr>
      <w:tr>
        <w:trPr>
          <w:trHeight w:val="168"/>
        </w:trPr>
        <w:tc>
          <w:tcPr>
            <w:tcW w:w="2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81"/>
              </w:rPr>
              <w:t>3.</w:t>
            </w:r>
          </w:p>
        </w:tc>
        <w:tc>
          <w:tcPr>
            <w:tcW w:w="7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3800" w:type="dxa"/>
            <w:vAlign w:val="bottom"/>
          </w:tcPr>
          <w:p>
            <w:pPr>
              <w:spacing w:after="0"/>
              <w:rPr>
                <w:sz w:val="14"/>
                <w:szCs w:val="14"/>
                <w:color w:val="auto"/>
              </w:rPr>
            </w:pPr>
          </w:p>
        </w:tc>
      </w:tr>
      <w:tr>
        <w:trPr>
          <w:trHeight w:val="21"/>
        </w:trPr>
        <w:tc>
          <w:tcPr>
            <w:tcW w:w="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Glossary of Terms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0000FF"/>
              </w:rPr>
              <w:t>37</w:t>
            </w:r>
          </w:p>
        </w:tc>
      </w:tr>
      <w:tr>
        <w:trPr>
          <w:trHeight w:val="21"/>
        </w:trPr>
        <w:tc>
          <w:tcPr>
            <w:tcW w:w="220" w:type="dxa"/>
            <w:vAlign w:val="bottom"/>
            <w:shd w:val="clear" w:color="auto" w:fill="CCEEFF"/>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r>
    </w:tbl>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This Supplemental Information contains forward-looking statements within the meaning of the Private Securities Litigation Reform Act of 1995 (set forth in Section 27A of the Securities Act of 1933, as amended, or the Securities Act, and Section 21E of the Securities Exchange Act of 1934, as amended, or the Exchange Act). 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adverse economic or real estate developments in our markets; defaults on, early terminations of or non-renewal of leases by tenants, including significant tenants; decreased rental rates or increased vacancy rates; our failure to generate sufficient cash flows to service our outstanding indebtedness; fluctuations in interest rates and increased operating costs; our failure to obtain necessary outside financing; our inability to develop or redevelop our properties due to market conditions; investment returns from our developed properties may be less than anticipated; general economic conditions, including the impact of tariffs and other trade restrictions; the potential impact of a prolonged government shutdown; financial market fluctuations; risks that affect the general office, retail, multifamily and mixed-use environment; the competitive environment in which we operate; system failures or security incidents through cyberattacks; the impact of epidemics, pandemics, or other outbreaks of illness, disease or virus and the actions taken by government authorities and others related thereto, including the ability of our company, our properties and our tenants to operate; difficulties in identifying properties to acquire and completing acquisitions; our failure to successfully operate acquired properties and operations; risks related to joint venture arrangements; potential litigation; difficulties in completing dispositions; conflicts of interests with our officers or directors; lack or insufficient amounts of insurance; environmental uncertainties and risks related to adverse weather conditions and natural disasters; other factors affecting the real estate industry generally; limitations imposed on our business and our ability to satisfy complex rules in order for American Assets Trust, Inc. to continue to qualify as a REIT, for U.S. federal income tax purposes; and changes in governmental regulations or interpretations thereof, such as real estate and zoning laws and increases in real property tax rates and taxation of REITs.</w:t>
      </w:r>
    </w:p>
    <w:p>
      <w:pPr>
        <w:spacing w:after="0" w:line="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refer to our most recent Annual Report on Form 10-K and other risks described in documents subsequently filed by us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418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74" w:lineRule="exact"/>
        <w:rPr>
          <w:sz w:val="20"/>
          <w:szCs w:val="20"/>
          <w:color w:val="auto"/>
        </w:rPr>
      </w:pPr>
    </w:p>
    <w:p>
      <w:pPr>
        <w:ind w:left="20"/>
        <w:spacing w:after="0"/>
        <w:tabs>
          <w:tab w:leader="none" w:pos="1078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w:t>
      </w:r>
    </w:p>
    <w:p>
      <w:pPr>
        <w:sectPr>
          <w:pgSz w:w="11900" w:h="16838" w:orient="portrait"/>
          <w:cols w:equalWidth="0" w:num="1">
            <w:col w:w="11240"/>
          </w:cols>
          <w:pgMar w:left="320" w:top="40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3079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716280</wp:posOffset>
            </wp:positionV>
            <wp:extent cx="71418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076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4</w:t>
      </w:r>
    </w:p>
    <w:p>
      <w:pPr>
        <w:sectPr>
          <w:pgSz w:w="11900" w:h="16838" w:orient="portrait"/>
          <w:cols w:equalWidth="0" w:num="1">
            <w:col w:w="11200"/>
          </w:cols>
          <w:pgMar w:left="340" w:top="1440" w:right="35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285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85115"/>
                    </a:xfrm>
                    <a:prstGeom prst="rect">
                      <a:avLst/>
                    </a:prstGeom>
                    <a:noFill/>
                  </pic:spPr>
                </pic:pic>
              </a:graphicData>
            </a:graphic>
          </wp:anchor>
        </w:drawing>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shares and per share data)</w:t>
            </w:r>
          </w:p>
        </w:tc>
        <w:tc>
          <w:tcPr>
            <w:tcW w:w="160" w:type="dxa"/>
            <w:vAlign w:val="bottom"/>
          </w:tcPr>
          <w:p>
            <w:pPr>
              <w:spacing w:after="0"/>
              <w:rPr>
                <w:sz w:val="16"/>
                <w:szCs w:val="16"/>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7"/>
              </w:rPr>
              <w:t>September 30, 2026</w:t>
            </w:r>
          </w:p>
        </w:tc>
        <w:tc>
          <w:tcPr>
            <w:tcW w:w="18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003366"/>
              </w:rPr>
              <w:t>December 31, 2025</w:t>
            </w:r>
          </w:p>
        </w:tc>
        <w:tc>
          <w:tcPr>
            <w:tcW w:w="0" w:type="dxa"/>
            <w:vAlign w:val="bottom"/>
          </w:tcPr>
          <w:p>
            <w:pPr>
              <w:spacing w:after="0"/>
              <w:rPr>
                <w:sz w:val="1"/>
                <w:szCs w:val="1"/>
                <w:color w:val="auto"/>
              </w:rPr>
            </w:pPr>
          </w:p>
        </w:tc>
      </w:tr>
      <w:tr>
        <w:trPr>
          <w:trHeight w:val="110"/>
        </w:trPr>
        <w:tc>
          <w:tcPr>
            <w:tcW w:w="7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top w:val="single" w:sz="8" w:color="003366"/>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Borders>
              <w:top w:val="single" w:sz="8" w:color="003366"/>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003366"/>
                <w:w w:val="97"/>
              </w:rPr>
              <w:t>(unaudited)</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at cost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3,724,574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3,694,203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92,656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Held for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3,817,717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3,763,627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(1,213,965)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(1,144,259)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 estate</w:t>
            </w:r>
          </w:p>
        </w:tc>
        <w:tc>
          <w:tcPr>
            <w:tcW w:w="160" w:type="dxa"/>
            <w:vAlign w:val="bottom"/>
          </w:tcPr>
          <w:p>
            <w:pPr>
              <w:spacing w:after="0"/>
              <w:rPr>
                <w:sz w:val="17"/>
                <w:szCs w:val="17"/>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2,603,752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2,619,368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89,613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129,362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rent receivable, net</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84,771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84,642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 net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81,110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80,497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2,866,166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2,921,276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Secured notes payable,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74,917</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Unsecured notes payable, net</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1,613,618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1,612,761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70,767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Security deposits payable</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liabilities and deferred credits, net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56,914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61,304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1,827,582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1,830,071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American Assets Trust, Inc. stockholders' equity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760"/>
              <w:spacing w:after="0" w:line="165" w:lineRule="exact"/>
              <w:rPr>
                <w:sz w:val="20"/>
                <w:szCs w:val="20"/>
                <w:color w:val="auto"/>
              </w:rPr>
            </w:pPr>
            <w:r>
              <w:rPr>
                <w:rFonts w:ascii="Times New Roman" w:cs="Times New Roman" w:eastAsia="Times New Roman" w:hAnsi="Times New Roman"/>
                <w:sz w:val="16"/>
                <w:szCs w:val="16"/>
                <w:color w:val="auto"/>
              </w:rPr>
              <w:t>Common stock, $0.01 par value, 490,000,000 shares authorized, 61,402,515 and 61,390,936 shares issued</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and outstanding at September 30, 2026 and December 31, 2025, respectively</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6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1,484,916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1,479,870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Accumulated dividends in excess of net income</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(374,975)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(331,086)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American Assets Trust, Inc. stockholders' equity</w:t>
            </w:r>
          </w:p>
        </w:tc>
        <w:tc>
          <w:tcPr>
            <w:tcW w:w="16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1,110,332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1,150,817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(71,748)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(59,612)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1,038,584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1,091,205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2,866,166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2,921,276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620" w:type="dxa"/>
            <w:vAlign w:val="bottom"/>
            <w:tcBorders>
              <w:bottom w:val="single" w:sz="8" w:color="003366"/>
            </w:tcBorders>
          </w:tcPr>
          <w:p>
            <w:pPr>
              <w:spacing w:after="0"/>
              <w:rPr>
                <w:sz w:val="24"/>
                <w:szCs w:val="24"/>
                <w:color w:val="auto"/>
              </w:rPr>
            </w:pPr>
          </w:p>
        </w:tc>
        <w:tc>
          <w:tcPr>
            <w:tcW w:w="16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300" w:type="dxa"/>
            <w:vAlign w:val="bottom"/>
            <w:tcBorders>
              <w:bottom w:val="single" w:sz="8" w:color="003366"/>
            </w:tcBorders>
          </w:tcPr>
          <w:p>
            <w:pPr>
              <w:spacing w:after="0"/>
              <w:rPr>
                <w:sz w:val="24"/>
                <w:szCs w:val="24"/>
                <w:color w:val="auto"/>
              </w:rPr>
            </w:pPr>
          </w:p>
        </w:tc>
        <w:tc>
          <w:tcPr>
            <w:tcW w:w="24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80" w:type="dxa"/>
            <w:vAlign w:val="bottom"/>
            <w:tcBorders>
              <w:bottom w:val="single" w:sz="8" w:color="003366"/>
            </w:tcBorders>
          </w:tcPr>
          <w:p>
            <w:pPr>
              <w:spacing w:after="0"/>
              <w:rPr>
                <w:sz w:val="24"/>
                <w:szCs w:val="24"/>
                <w:color w:val="auto"/>
              </w:rPr>
            </w:pPr>
          </w:p>
        </w:tc>
        <w:tc>
          <w:tcPr>
            <w:tcW w:w="60" w:type="dxa"/>
            <w:vAlign w:val="bottom"/>
            <w:tcBorders>
              <w:bottom w:val="single" w:sz="8" w:color="003366"/>
            </w:tcBorders>
          </w:tcPr>
          <w:p>
            <w:pPr>
              <w:spacing w:after="0"/>
              <w:rPr>
                <w:sz w:val="24"/>
                <w:szCs w:val="24"/>
                <w:color w:val="auto"/>
              </w:rPr>
            </w:pPr>
          </w:p>
        </w:tc>
        <w:tc>
          <w:tcPr>
            <w:tcW w:w="1520" w:type="dxa"/>
            <w:vAlign w:val="bottom"/>
            <w:tcBorders>
              <w:bottom w:val="single" w:sz="8" w:color="003366"/>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003366"/>
              </w:rPr>
              <w:t>Third Quarter 2026 Supplemental Information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003366"/>
              </w:rPr>
              <w:t>Page 5</w:t>
            </w:r>
          </w:p>
        </w:tc>
        <w:tc>
          <w:tcPr>
            <w:tcW w:w="0" w:type="dxa"/>
            <w:vAlign w:val="bottom"/>
          </w:tcPr>
          <w:p>
            <w:pPr>
              <w:spacing w:after="0"/>
              <w:rPr>
                <w:sz w:val="1"/>
                <w:szCs w:val="1"/>
                <w:color w:val="auto"/>
              </w:rPr>
            </w:pPr>
          </w:p>
        </w:tc>
      </w:tr>
    </w:tbl>
    <w:p>
      <w:pPr>
        <w:sectPr>
          <w:pgSz w:w="11900" w:h="16838" w:orient="portrait"/>
          <w:cols w:equalWidth="0" w:num="1">
            <w:col w:w="11260"/>
          </w:cols>
          <w:pgMar w:left="320" w:top="366" w:right="31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0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003366"/>
                <w:w w:val="98"/>
              </w:rPr>
              <w:t>Three Months Ended</w:t>
            </w:r>
          </w:p>
        </w:tc>
        <w:tc>
          <w:tcPr>
            <w:tcW w:w="200" w:type="dxa"/>
            <w:vAlign w:val="bottom"/>
          </w:tcPr>
          <w:p>
            <w:pPr>
              <w:spacing w:after="0"/>
              <w:rPr>
                <w:sz w:val="18"/>
                <w:szCs w:val="18"/>
                <w:color w:val="auto"/>
              </w:rPr>
            </w:pPr>
          </w:p>
        </w:tc>
        <w:tc>
          <w:tcPr>
            <w:tcW w:w="20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Nine Months Ended</w:t>
            </w:r>
          </w:p>
        </w:tc>
      </w:tr>
      <w:tr>
        <w:trPr>
          <w:trHeight w:val="212"/>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003366"/>
                <w:w w:val="98"/>
              </w:rPr>
              <w:t>September 30,</w:t>
            </w:r>
          </w:p>
        </w:tc>
        <w:tc>
          <w:tcPr>
            <w:tcW w:w="200" w:type="dxa"/>
            <w:vAlign w:val="bottom"/>
          </w:tcPr>
          <w:p>
            <w:pPr>
              <w:spacing w:after="0"/>
              <w:rPr>
                <w:sz w:val="18"/>
                <w:szCs w:val="18"/>
                <w:color w:val="auto"/>
              </w:rPr>
            </w:pPr>
          </w:p>
        </w:tc>
        <w:tc>
          <w:tcPr>
            <w:tcW w:w="20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8"/>
              </w:rPr>
              <w:t>September 30,</w:t>
            </w:r>
          </w:p>
        </w:tc>
      </w:tr>
      <w:tr>
        <w:trPr>
          <w:trHeight w:val="205"/>
        </w:trPr>
        <w:tc>
          <w:tcPr>
            <w:tcW w:w="66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003366"/>
              </w:rPr>
              <w:t>2025</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003366"/>
              </w:rPr>
              <w:t>2025</w:t>
            </w:r>
          </w:p>
        </w:tc>
        <w:tc>
          <w:tcPr>
            <w:tcW w:w="20" w:type="dxa"/>
            <w:vAlign w:val="bottom"/>
            <w:tcBorders>
              <w:top w:val="single" w:sz="8" w:color="auto"/>
              <w:bottom w:val="single" w:sz="8" w:color="auto"/>
            </w:tcBorders>
          </w:tcPr>
          <w:p>
            <w:pPr>
              <w:spacing w:after="0"/>
              <w:rPr>
                <w:sz w:val="17"/>
                <w:szCs w:val="17"/>
                <w:color w:val="auto"/>
              </w:rPr>
            </w:pPr>
          </w:p>
        </w:tc>
      </w:tr>
      <w:tr>
        <w:trPr>
          <w:trHeight w:val="19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 income</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107,837</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102,222</w:t>
            </w:r>
          </w:p>
        </w:tc>
        <w:tc>
          <w:tcPr>
            <w:tcW w:w="14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315,374</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306,243</w:t>
            </w:r>
          </w:p>
        </w:tc>
        <w:tc>
          <w:tcPr>
            <w:tcW w:w="20" w:type="dxa"/>
            <w:vAlign w:val="bottom"/>
          </w:tcPr>
          <w:p>
            <w:pPr>
              <w:spacing w:after="0"/>
              <w:rPr>
                <w:sz w:val="18"/>
                <w:szCs w:val="18"/>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property income</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w:t>
            </w:r>
          </w:p>
        </w:tc>
        <w:tc>
          <w:tcPr>
            <w:tcW w:w="20" w:type="dxa"/>
            <w:vAlign w:val="bottom"/>
            <w:tcBorders>
              <w:bottom w:val="single" w:sz="8" w:color="auto"/>
            </w:tcBorders>
            <w:shd w:val="clear" w:color="auto" w:fill="CCEEFF"/>
          </w:tcPr>
          <w:p>
            <w:pPr>
              <w:spacing w:after="0"/>
              <w:rPr>
                <w:sz w:val="18"/>
                <w:szCs w:val="18"/>
                <w:color w:val="auto"/>
              </w:rPr>
            </w:pPr>
          </w:p>
        </w:tc>
      </w:tr>
      <w:tr>
        <w:trPr>
          <w:trHeight w:val="205"/>
        </w:trPr>
        <w:tc>
          <w:tcPr>
            <w:tcW w:w="6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109,578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326,118</w:t>
            </w:r>
          </w:p>
        </w:tc>
        <w:tc>
          <w:tcPr>
            <w:tcW w:w="20" w:type="dxa"/>
            <w:vAlign w:val="bottom"/>
          </w:tcPr>
          <w:p>
            <w:pPr>
              <w:spacing w:after="0"/>
              <w:rPr>
                <w:sz w:val="17"/>
                <w:szCs w:val="17"/>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91,746</w:t>
            </w:r>
          </w:p>
        </w:tc>
        <w:tc>
          <w:tcPr>
            <w:tcW w:w="20" w:type="dxa"/>
            <w:vAlign w:val="bottom"/>
          </w:tcPr>
          <w:p>
            <w:pPr>
              <w:spacing w:after="0"/>
              <w:rPr>
                <w:sz w:val="18"/>
                <w:szCs w:val="18"/>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taxes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33,179</w:t>
            </w:r>
          </w:p>
        </w:tc>
        <w:tc>
          <w:tcPr>
            <w:tcW w:w="20" w:type="dxa"/>
            <w:vAlign w:val="bottom"/>
            <w:shd w:val="clear" w:color="auto" w:fill="CCEEFF"/>
          </w:tcPr>
          <w:p>
            <w:pPr>
              <w:spacing w:after="0"/>
              <w:rPr>
                <w:sz w:val="18"/>
                <w:szCs w:val="18"/>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27,662</w:t>
            </w:r>
          </w:p>
        </w:tc>
        <w:tc>
          <w:tcPr>
            <w:tcW w:w="20" w:type="dxa"/>
            <w:vAlign w:val="bottom"/>
          </w:tcPr>
          <w:p>
            <w:pPr>
              <w:spacing w:after="0"/>
              <w:rPr>
                <w:sz w:val="18"/>
                <w:szCs w:val="18"/>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32,014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5"/>
        </w:trPr>
        <w:tc>
          <w:tcPr>
            <w:tcW w:w="6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84,811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247,877</w:t>
            </w:r>
          </w:p>
        </w:tc>
        <w:tc>
          <w:tcPr>
            <w:tcW w:w="20" w:type="dxa"/>
            <w:vAlign w:val="bottom"/>
          </w:tcPr>
          <w:p>
            <w:pPr>
              <w:spacing w:after="0"/>
              <w:rPr>
                <w:sz w:val="17"/>
                <w:szCs w:val="17"/>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20" w:type="dxa"/>
            <w:vAlign w:val="bottom"/>
            <w:shd w:val="clear" w:color="auto" w:fill="CCEEFF"/>
          </w:tcPr>
          <w:p>
            <w:pPr>
              <w:spacing w:after="0"/>
              <w:rPr>
                <w:sz w:val="18"/>
                <w:szCs w:val="18"/>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24,767</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81,577</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122,717</w:t>
            </w:r>
          </w:p>
        </w:tc>
        <w:tc>
          <w:tcPr>
            <w:tcW w:w="20" w:type="dxa"/>
            <w:vAlign w:val="bottom"/>
            <w:tcBorders>
              <w:top w:val="single" w:sz="8" w:color="auto"/>
            </w:tcBorders>
          </w:tcPr>
          <w:p>
            <w:pPr>
              <w:spacing w:after="0"/>
              <w:rPr>
                <w:sz w:val="17"/>
                <w:szCs w:val="17"/>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(58,337)</w:t>
            </w:r>
          </w:p>
        </w:tc>
        <w:tc>
          <w:tcPr>
            <w:tcW w:w="20" w:type="dxa"/>
            <w:vAlign w:val="bottom"/>
            <w:shd w:val="clear" w:color="auto" w:fill="CCEEFF"/>
          </w:tcPr>
          <w:p>
            <w:pPr>
              <w:spacing w:after="0"/>
              <w:rPr>
                <w:sz w:val="18"/>
                <w:szCs w:val="18"/>
                <w:color w:val="auto"/>
              </w:rPr>
            </w:pPr>
          </w:p>
        </w:tc>
      </w:tr>
      <w:tr>
        <w:trPr>
          <w:trHeight w:val="21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20" w:type="dxa"/>
            <w:vAlign w:val="bottom"/>
            <w:tcBorders>
              <w:bottom w:val="single" w:sz="8" w:color="auto"/>
            </w:tcBorders>
          </w:tcPr>
          <w:p>
            <w:pPr>
              <w:spacing w:after="0"/>
              <w:rPr>
                <w:sz w:val="18"/>
                <w:szCs w:val="18"/>
                <w:color w:val="auto"/>
              </w:rPr>
            </w:pP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5,921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67,149</w:t>
            </w:r>
          </w:p>
        </w:tc>
        <w:tc>
          <w:tcPr>
            <w:tcW w:w="20" w:type="dxa"/>
            <w:vAlign w:val="bottom"/>
            <w:shd w:val="clear" w:color="auto" w:fill="CCEEFF"/>
          </w:tcPr>
          <w:p>
            <w:pPr>
              <w:spacing w:after="0"/>
              <w:rPr>
                <w:sz w:val="17"/>
                <w:szCs w:val="17"/>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restricted shares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 w:type="dxa"/>
            <w:vAlign w:val="bottom"/>
          </w:tcPr>
          <w:p>
            <w:pPr>
              <w:spacing w:after="0"/>
              <w:rPr>
                <w:sz w:val="18"/>
                <w:szCs w:val="18"/>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unitholders in the Operating Partnership</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NET INCOME ATTRIBUTABLE TO AMERICAN ASSETS TRUST, INC. STOCKHOLDERS</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4,509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20" w:type="dxa"/>
            <w:vAlign w:val="bottom"/>
            <w:tcBorders>
              <w:bottom w:val="single" w:sz="8" w:color="auto"/>
            </w:tcBorders>
          </w:tcPr>
          <w:p>
            <w:pPr>
              <w:spacing w:after="0"/>
              <w:rPr>
                <w:sz w:val="17"/>
                <w:szCs w:val="17"/>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6"/>
        </w:trPr>
        <w:tc>
          <w:tcPr>
            <w:tcW w:w="6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income from operations attributable to common stockholders per share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20" w:type="dxa"/>
            <w:vAlign w:val="bottom"/>
            <w:shd w:val="clear" w:color="auto" w:fill="CCEEFF"/>
          </w:tcPr>
          <w:p>
            <w:pPr>
              <w:spacing w:after="0"/>
              <w:rPr>
                <w:sz w:val="18"/>
                <w:szCs w:val="18"/>
                <w:color w:val="auto"/>
              </w:rPr>
            </w:pPr>
          </w:p>
        </w:tc>
      </w:tr>
      <w:tr>
        <w:trPr>
          <w:trHeight w:val="213"/>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of common stock outstanding - basic</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60,715,491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60,546,480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60,705,574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60,541,335</w:t>
            </w:r>
          </w:p>
        </w:tc>
        <w:tc>
          <w:tcPr>
            <w:tcW w:w="20" w:type="dxa"/>
            <w:vAlign w:val="bottom"/>
            <w:tcBorders>
              <w:bottom w:val="single" w:sz="8" w:color="auto"/>
            </w:tcBorders>
          </w:tcPr>
          <w:p>
            <w:pPr>
              <w:spacing w:after="0"/>
              <w:rPr>
                <w:sz w:val="18"/>
                <w:szCs w:val="18"/>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income from operations attributable to common stockholders per share</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660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Weighted average shares of common stock outstanding - diluted</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76,897,028</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76,728,017</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76,887,111</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76,722,872</w:t>
            </w:r>
          </w:p>
        </w:tc>
        <w:tc>
          <w:tcPr>
            <w:tcW w:w="20" w:type="dxa"/>
            <w:vAlign w:val="bottom"/>
            <w:tcBorders>
              <w:bottom w:val="single" w:sz="8" w:color="auto"/>
            </w:tcBorders>
          </w:tcPr>
          <w:p>
            <w:pPr>
              <w:spacing w:after="0"/>
              <w:rPr>
                <w:sz w:val="15"/>
                <w:szCs w:val="15"/>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9"/>
        </w:trPr>
        <w:tc>
          <w:tcPr>
            <w:tcW w:w="6600" w:type="dxa"/>
            <w:vAlign w:val="bottom"/>
            <w:tcBorders>
              <w:bottom w:val="single" w:sz="8" w:color="003366"/>
            </w:tcBorders>
          </w:tcPr>
          <w:p>
            <w:pPr>
              <w:spacing w:after="0"/>
              <w:rPr>
                <w:sz w:val="24"/>
                <w:szCs w:val="24"/>
                <w:color w:val="auto"/>
              </w:rPr>
            </w:pPr>
          </w:p>
        </w:tc>
        <w:tc>
          <w:tcPr>
            <w:tcW w:w="200" w:type="dxa"/>
            <w:vAlign w:val="bottom"/>
            <w:tcBorders>
              <w:bottom w:val="single" w:sz="8" w:color="003366"/>
            </w:tcBorders>
          </w:tcPr>
          <w:p>
            <w:pPr>
              <w:spacing w:after="0"/>
              <w:rPr>
                <w:sz w:val="24"/>
                <w:szCs w:val="24"/>
                <w:color w:val="auto"/>
              </w:rPr>
            </w:pPr>
          </w:p>
        </w:tc>
        <w:tc>
          <w:tcPr>
            <w:tcW w:w="88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200" w:type="dxa"/>
            <w:vAlign w:val="bottom"/>
            <w:tcBorders>
              <w:bottom w:val="single" w:sz="8" w:color="003366"/>
            </w:tcBorders>
          </w:tcPr>
          <w:p>
            <w:pPr>
              <w:spacing w:after="0"/>
              <w:rPr>
                <w:sz w:val="24"/>
                <w:szCs w:val="24"/>
                <w:color w:val="auto"/>
              </w:rPr>
            </w:pPr>
          </w:p>
        </w:tc>
        <w:tc>
          <w:tcPr>
            <w:tcW w:w="900" w:type="dxa"/>
            <w:vAlign w:val="bottom"/>
            <w:tcBorders>
              <w:bottom w:val="single" w:sz="8" w:color="003366"/>
            </w:tcBorders>
          </w:tcPr>
          <w:p>
            <w:pPr>
              <w:spacing w:after="0"/>
              <w:rPr>
                <w:sz w:val="24"/>
                <w:szCs w:val="24"/>
                <w:color w:val="auto"/>
              </w:rPr>
            </w:pPr>
          </w:p>
        </w:tc>
        <w:tc>
          <w:tcPr>
            <w:tcW w:w="140" w:type="dxa"/>
            <w:vAlign w:val="bottom"/>
            <w:tcBorders>
              <w:bottom w:val="single" w:sz="8" w:color="003366"/>
            </w:tcBorders>
          </w:tcPr>
          <w:p>
            <w:pPr>
              <w:spacing w:after="0"/>
              <w:rPr>
                <w:sz w:val="24"/>
                <w:szCs w:val="24"/>
                <w:color w:val="auto"/>
              </w:rPr>
            </w:pPr>
          </w:p>
        </w:tc>
        <w:tc>
          <w:tcPr>
            <w:tcW w:w="200" w:type="dxa"/>
            <w:vAlign w:val="bottom"/>
            <w:tcBorders>
              <w:bottom w:val="single" w:sz="8" w:color="003366"/>
            </w:tcBorders>
          </w:tcPr>
          <w:p>
            <w:pPr>
              <w:spacing w:after="0"/>
              <w:rPr>
                <w:sz w:val="24"/>
                <w:szCs w:val="24"/>
                <w:color w:val="auto"/>
              </w:rPr>
            </w:pPr>
          </w:p>
        </w:tc>
        <w:tc>
          <w:tcPr>
            <w:tcW w:w="88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220" w:type="dxa"/>
            <w:vAlign w:val="bottom"/>
            <w:tcBorders>
              <w:bottom w:val="single" w:sz="8" w:color="003366"/>
            </w:tcBorders>
          </w:tcPr>
          <w:p>
            <w:pPr>
              <w:spacing w:after="0"/>
              <w:rPr>
                <w:sz w:val="24"/>
                <w:szCs w:val="24"/>
                <w:color w:val="auto"/>
              </w:rPr>
            </w:pPr>
          </w:p>
        </w:tc>
        <w:tc>
          <w:tcPr>
            <w:tcW w:w="860" w:type="dxa"/>
            <w:vAlign w:val="bottom"/>
            <w:tcBorders>
              <w:bottom w:val="single" w:sz="8" w:color="003366"/>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003366"/>
              </w:rPr>
              <w:t>Third Quarter 2026 Supplemental Information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3366"/>
              </w:rPr>
              <w:t>Page 6</w:t>
            </w:r>
          </w:p>
        </w:tc>
      </w:tr>
    </w:tbl>
    <w:p>
      <w:pPr>
        <w:sectPr>
          <w:pgSz w:w="11900" w:h="16838" w:orient="portrait"/>
          <w:cols w:equalWidth="0" w:num="1">
            <w:col w:w="11260"/>
          </w:cols>
          <w:pgMar w:left="320" w:top="401" w:right="31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845" cy="307975"/>
                    </a:xfrm>
                    <a:prstGeom prst="rect">
                      <a:avLst/>
                    </a:prstGeom>
                    <a:noFill/>
                  </pic:spPr>
                </pic:pic>
              </a:graphicData>
            </a:graphic>
          </wp:anchor>
        </w:drawing>
        <w:t>FUNDS FROM OPERATIONS &amp; FUNDS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184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80" w:type="dxa"/>
            <w:vAlign w:val="bottom"/>
          </w:tcPr>
          <w:p>
            <w:pPr>
              <w:spacing w:after="0"/>
              <w:rPr>
                <w:sz w:val="18"/>
                <w:szCs w:val="18"/>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003366"/>
              </w:rPr>
              <w:t>Three Months Ended</w:t>
            </w:r>
          </w:p>
        </w:tc>
        <w:tc>
          <w:tcPr>
            <w:tcW w:w="280" w:type="dxa"/>
            <w:vAlign w:val="bottom"/>
          </w:tcPr>
          <w:p>
            <w:pPr>
              <w:spacing w:after="0"/>
              <w:rPr>
                <w:sz w:val="18"/>
                <w:szCs w:val="18"/>
                <w:color w:val="auto"/>
              </w:rPr>
            </w:pPr>
          </w:p>
        </w:tc>
        <w:tc>
          <w:tcPr>
            <w:tcW w:w="2320" w:type="dxa"/>
            <w:vAlign w:val="bottom"/>
            <w:gridSpan w:val="4"/>
          </w:tcPr>
          <w:p>
            <w:pPr>
              <w:jc w:val="right"/>
              <w:ind w:right="541"/>
              <w:spacing w:after="0"/>
              <w:rPr>
                <w:sz w:val="20"/>
                <w:szCs w:val="20"/>
                <w:color w:val="auto"/>
              </w:rPr>
            </w:pPr>
            <w:r>
              <w:rPr>
                <w:rFonts w:ascii="Times New Roman" w:cs="Times New Roman" w:eastAsia="Times New Roman" w:hAnsi="Times New Roman"/>
                <w:sz w:val="16"/>
                <w:szCs w:val="16"/>
                <w:b w:val="1"/>
                <w:bCs w:val="1"/>
                <w:color w:val="003366"/>
              </w:rPr>
              <w:t>Nine Months Ended</w:t>
            </w: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w w:val="99"/>
              </w:rPr>
              <w:t>2025</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w w:val="93"/>
              </w:rPr>
              <w:t>2025</w:t>
            </w:r>
          </w:p>
        </w:tc>
      </w:tr>
      <w:tr>
        <w:trPr>
          <w:trHeight w:val="173"/>
        </w:trPr>
        <w:tc>
          <w:tcPr>
            <w:tcW w:w="20" w:type="dxa"/>
            <w:vAlign w:val="bottom"/>
            <w:shd w:val="clear" w:color="auto" w:fill="CCEEFF"/>
          </w:tcPr>
          <w:p>
            <w:pPr>
              <w:spacing w:after="0"/>
              <w:rPr>
                <w:sz w:val="15"/>
                <w:szCs w:val="15"/>
                <w:color w:val="auto"/>
              </w:rPr>
            </w:pPr>
          </w:p>
        </w:tc>
        <w:tc>
          <w:tcPr>
            <w:tcW w:w="59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Funds from Operations (FFO)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404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23,547</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67,149</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of real estate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95,290</w:t>
            </w:r>
          </w:p>
        </w:tc>
      </w:tr>
      <w:tr>
        <w:trPr>
          <w:trHeight w:val="213"/>
        </w:trPr>
        <w:tc>
          <w:tcPr>
            <w:tcW w:w="20" w:type="dxa"/>
            <w:vAlign w:val="bottom"/>
          </w:tcPr>
          <w:p>
            <w:pPr>
              <w:spacing w:after="0"/>
              <w:rPr>
                <w:sz w:val="18"/>
                <w:szCs w:val="18"/>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(44,476)</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592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as defined by NAREIT</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43,047</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121,599</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117,963</w:t>
            </w:r>
          </w:p>
        </w:tc>
      </w:tr>
      <w:tr>
        <w:trPr>
          <w:trHeight w:val="213"/>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6"/>
                <w:szCs w:val="16"/>
                <w:color w:val="auto"/>
              </w:rPr>
              <w:t>Less: Nonforfeitable dividends on incentive restricted stock awards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attributable to common stock and common units</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FFO per diluted share/unit</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4"/>
            <w:shd w:val="clear" w:color="auto" w:fill="CCEEFF"/>
          </w:tcPr>
          <w:p>
            <w:pPr>
              <w:ind w:left="100"/>
              <w:spacing w:after="0" w:line="213" w:lineRule="exact"/>
              <w:rPr>
                <w:sz w:val="20"/>
                <w:szCs w:val="20"/>
                <w:color w:val="auto"/>
              </w:rPr>
            </w:pPr>
            <w:r>
              <w:rPr>
                <w:rFonts w:ascii="Times New Roman" w:cs="Times New Roman" w:eastAsia="Times New Roman" w:hAnsi="Times New Roman"/>
                <w:sz w:val="16"/>
                <w:szCs w:val="16"/>
                <w:color w:val="auto"/>
              </w:rPr>
              <w:t xml:space="preserve">Weighted average number of common shares and common units, diluted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76,912,958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76,732,590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76,899,707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76,729,280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1"/>
        </w:trPr>
        <w:tc>
          <w:tcPr>
            <w:tcW w:w="20" w:type="dxa"/>
            <w:vAlign w:val="bottom"/>
            <w:shd w:val="clear" w:color="auto" w:fill="CCEEFF"/>
          </w:tcPr>
          <w:p>
            <w:pPr>
              <w:spacing w:after="0"/>
              <w:rPr>
                <w:sz w:val="20"/>
                <w:szCs w:val="20"/>
                <w:color w:val="auto"/>
              </w:rPr>
            </w:pPr>
          </w:p>
        </w:tc>
        <w:tc>
          <w:tcPr>
            <w:tcW w:w="592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 xml:space="preserve">Funds Available for Distribution (FAD)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4"/>
              </w:rPr>
              <w:t>Dividends</w:t>
            </w:r>
          </w:p>
        </w:tc>
        <w:tc>
          <w:tcPr>
            <w:tcW w:w="528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9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Dividends declared and paid</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26,378</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26,294</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79,133</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78,876</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declared and paid per share/unit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FFO and FAD are non-GAAP supplemental earnings measures which we consider meaningful in measuring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71418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99" w:lineRule="exact"/>
        <w:rPr>
          <w:sz w:val="20"/>
          <w:szCs w:val="20"/>
          <w:color w:val="auto"/>
        </w:rPr>
      </w:pPr>
    </w:p>
    <w:p>
      <w:pPr>
        <w:ind w:left="20"/>
        <w:spacing w:after="0"/>
        <w:tabs>
          <w:tab w:leader="none" w:pos="1078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7</w:t>
      </w:r>
    </w:p>
    <w:p>
      <w:pPr>
        <w:sectPr>
          <w:pgSz w:w="11900" w:h="16838" w:orient="portrait"/>
          <w:cols w:equalWidth="0" w:num="1">
            <w:col w:w="11260"/>
          </w:cols>
          <w:pgMar w:left="320" w:top="401" w:right="319" w:bottom="1440" w:gutter="0" w:footer="0" w:header="0"/>
        </w:sectPr>
      </w:pPr>
    </w:p>
    <w:bookmarkStart w:id="19" w:name="page20"/>
    <w:bookmarkEnd w:id="19"/>
    <w:p>
      <w:pPr>
        <w:ind w:left="25" w:right="2660"/>
        <w:spacing w:after="0" w:line="246" w:lineRule="auto"/>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7620"/>
                    </a:xfrm>
                    <a:prstGeom prst="rect">
                      <a:avLst/>
                    </a:prstGeom>
                    <a:noFill/>
                  </pic:spPr>
                </pic:pic>
              </a:graphicData>
            </a:graphic>
          </wp:anchor>
        </w:drawing>
        <w:t>FUNDS FROM OPERATIONS &amp; FUNDS AVAILABLE FOR DISTRIBUTION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94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-329565</wp:posOffset>
            </wp:positionV>
            <wp:extent cx="533400" cy="278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3400" cy="2781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shares and per share data)</w:t>
            </w:r>
          </w:p>
        </w:tc>
        <w:tc>
          <w:tcPr>
            <w:tcW w:w="280" w:type="dxa"/>
            <w:vAlign w:val="bottom"/>
          </w:tcPr>
          <w:p>
            <w:pPr>
              <w:spacing w:after="0"/>
              <w:rPr>
                <w:sz w:val="18"/>
                <w:szCs w:val="18"/>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003366"/>
              </w:rPr>
              <w:t>Three Months Ended</w:t>
            </w:r>
          </w:p>
        </w:tc>
        <w:tc>
          <w:tcPr>
            <w:tcW w:w="280" w:type="dxa"/>
            <w:vAlign w:val="bottom"/>
          </w:tcPr>
          <w:p>
            <w:pPr>
              <w:spacing w:after="0"/>
              <w:rPr>
                <w:sz w:val="18"/>
                <w:szCs w:val="18"/>
                <w:color w:val="auto"/>
              </w:rPr>
            </w:pPr>
          </w:p>
        </w:tc>
        <w:tc>
          <w:tcPr>
            <w:tcW w:w="2320" w:type="dxa"/>
            <w:vAlign w:val="bottom"/>
            <w:gridSpan w:val="4"/>
          </w:tcPr>
          <w:p>
            <w:pPr>
              <w:jc w:val="right"/>
              <w:ind w:right="541"/>
              <w:spacing w:after="0"/>
              <w:rPr>
                <w:sz w:val="20"/>
                <w:szCs w:val="20"/>
                <w:color w:val="auto"/>
              </w:rPr>
            </w:pPr>
            <w:r>
              <w:rPr>
                <w:rFonts w:ascii="Times New Roman" w:cs="Times New Roman" w:eastAsia="Times New Roman" w:hAnsi="Times New Roman"/>
                <w:sz w:val="16"/>
                <w:szCs w:val="16"/>
                <w:b w:val="1"/>
                <w:bCs w:val="1"/>
                <w:color w:val="003366"/>
              </w:rPr>
              <w:t>Nine Months Ended</w:t>
            </w: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2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w w:val="99"/>
              </w:rPr>
              <w:t>2025</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w w:val="93"/>
              </w:rPr>
              <w:t>2025</w:t>
            </w:r>
          </w:p>
        </w:tc>
      </w:tr>
      <w:tr>
        <w:trPr>
          <w:trHeight w:val="173"/>
        </w:trPr>
        <w:tc>
          <w:tcPr>
            <w:tcW w:w="20" w:type="dxa"/>
            <w:vAlign w:val="bottom"/>
            <w:shd w:val="clear" w:color="auto" w:fill="CCEEFF"/>
          </w:tcPr>
          <w:p>
            <w:pPr>
              <w:spacing w:after="0"/>
              <w:rPr>
                <w:sz w:val="15"/>
                <w:szCs w:val="15"/>
                <w:color w:val="auto"/>
              </w:rPr>
            </w:pPr>
          </w:p>
        </w:tc>
        <w:tc>
          <w:tcPr>
            <w:tcW w:w="592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Funds Available for Distribution (FAD)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FFO</w:t>
            </w:r>
          </w:p>
        </w:tc>
        <w:tc>
          <w:tcPr>
            <w:tcW w:w="3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43,047</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37,935</w:t>
            </w: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121,599</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117,963</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Tenant improvements, leasing commissions and capital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(41,788)</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6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straight-line rents </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13"/>
        </w:trPr>
        <w:tc>
          <w:tcPr>
            <w:tcW w:w="20" w:type="dxa"/>
            <w:vAlign w:val="bottom"/>
          </w:tcPr>
          <w:p>
            <w:pPr>
              <w:spacing w:after="0"/>
              <w:rPr>
                <w:sz w:val="18"/>
                <w:szCs w:val="18"/>
                <w:color w:val="auto"/>
              </w:rPr>
            </w:pPr>
          </w:p>
        </w:tc>
        <w:tc>
          <w:tcPr>
            <w:tcW w:w="5920" w:type="dxa"/>
            <w:vAlign w:val="bottom"/>
            <w:gridSpan w:val="3"/>
          </w:tcPr>
          <w:p>
            <w:pPr>
              <w:ind w:left="160"/>
              <w:spacing w:after="0" w:line="213" w:lineRule="exact"/>
              <w:rPr>
                <w:sz w:val="20"/>
                <w:szCs w:val="20"/>
                <w:color w:val="auto"/>
              </w:rPr>
            </w:pPr>
            <w:r>
              <w:rPr>
                <w:rFonts w:ascii="Times New Roman" w:cs="Times New Roman" w:eastAsia="Times New Roman" w:hAnsi="Times New Roman"/>
                <w:sz w:val="16"/>
                <w:szCs w:val="16"/>
                <w:color w:val="auto"/>
              </w:rPr>
              <w:t xml:space="preserve">Amortization of net above (below) market rents </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6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other lease assets </w:t>
            </w:r>
            <w:r>
              <w:rPr>
                <w:rFonts w:ascii="Times New Roman" w:cs="Times New Roman" w:eastAsia="Times New Roman" w:hAnsi="Times New Roman"/>
                <w:sz w:val="20"/>
                <w:szCs w:val="20"/>
                <w:color w:val="auto"/>
                <w:vertAlign w:val="superscript"/>
              </w:rPr>
              <w:t>(5)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20" w:type="dxa"/>
            <w:vAlign w:val="bottom"/>
          </w:tcPr>
          <w:p>
            <w:pPr>
              <w:spacing w:after="0"/>
              <w:rPr>
                <w:sz w:val="18"/>
                <w:szCs w:val="18"/>
                <w:color w:val="auto"/>
              </w:rPr>
            </w:pPr>
          </w:p>
        </w:tc>
        <w:tc>
          <w:tcPr>
            <w:tcW w:w="59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w:t>
            </w:r>
          </w:p>
        </w:tc>
      </w:tr>
      <w:tr>
        <w:trPr>
          <w:trHeight w:val="213"/>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Nonforfeitable dividends on restricted stock awards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FAD</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7"/>
              </w:rPr>
              <w:t>Summary of Capital Expenditures</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Tenant improvements and leasing commissions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27,100</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25,114</w:t>
            </w:r>
          </w:p>
        </w:tc>
      </w:tr>
      <w:tr>
        <w:trPr>
          <w:trHeight w:val="213"/>
        </w:trPr>
        <w:tc>
          <w:tcPr>
            <w:tcW w:w="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w:t>
            </w:r>
          </w:p>
        </w:tc>
      </w:tr>
      <w:tr>
        <w:trPr>
          <w:trHeight w:val="205"/>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18,701</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41,788</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jc w:val="both"/>
        <w:ind w:left="285" w:right="140" w:hanging="285"/>
        <w:spacing w:after="0" w:line="246" w:lineRule="auto"/>
        <w:tabs>
          <w:tab w:leader="none" w:pos="27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and nine months ended September 30, 2026 and 2025, the weighted average common shares and common units used to compute FFO per diluted share/unit included operating partnership common units and unvested restricted stock awards that are subject to time vesting. The shares/units used to compute FFO per diluted share/unit include additional shares/units which were excluded from the computation of diluted EPS, as they were anti-dilutive for the periods presented.</w:t>
      </w:r>
    </w:p>
    <w:p>
      <w:pPr>
        <w:spacing w:after="0" w:line="1"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straight-line rent income recognized during the period offset by cash received during the period and the provision for bad debts recorded for deferred rent receivable balances.</w:t>
      </w:r>
    </w:p>
    <w:p>
      <w:pPr>
        <w:ind w:left="265" w:hanging="265"/>
        <w:spacing w:after="0"/>
        <w:tabs>
          <w:tab w:leader="none" w:pos="26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related to the acquisition of buildings with above (below) market rents.</w:t>
      </w:r>
    </w:p>
    <w:p>
      <w:pPr>
        <w:ind w:left="265" w:hanging="265"/>
        <w:spacing w:after="0"/>
        <w:tabs>
          <w:tab w:leader="none" w:pos="26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amortization of lease incentives paid to tenants, amortization of lease intangibles, and straight-line rent expense for our leases at the Annex at The Landmark at One Market.</w:t>
      </w:r>
    </w:p>
    <w:p>
      <w:pPr>
        <w:spacing w:after="0" w:line="21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FFO and FAD are non-GAAP supplemental earnings measures which we consider meaningful in measuring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1418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
        <w:spacing w:after="0"/>
        <w:tabs>
          <w:tab w:leader="none" w:pos="1078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8</w:t>
      </w:r>
    </w:p>
    <w:p>
      <w:pPr>
        <w:sectPr>
          <w:pgSz w:w="11900" w:h="16838" w:orient="portrait"/>
          <w:cols w:equalWidth="0" w:num="1">
            <w:col w:w="11265"/>
          </w:cols>
          <w:pgMar w:left="315" w:top="188" w:right="319" w:bottom="1440" w:gutter="0" w:footer="0" w:header="0"/>
        </w:sectPr>
      </w:pPr>
    </w:p>
    <w:bookmarkStart w:id="20" w:name="page21"/>
    <w:bookmarkEnd w:id="2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CORPORATE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data)</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ind w:left="40"/>
              <w:spacing w:after="0" w:line="212" w:lineRule="exact"/>
              <w:rPr>
                <w:sz w:val="20"/>
                <w:szCs w:val="20"/>
                <w:color w:val="auto"/>
              </w:rPr>
            </w:pPr>
            <w:r>
              <w:rPr>
                <w:rFonts w:ascii="Times New Roman" w:cs="Times New Roman" w:eastAsia="Times New Roman" w:hAnsi="Times New Roman"/>
                <w:sz w:val="16"/>
                <w:szCs w:val="16"/>
                <w:b w:val="1"/>
                <w:bCs w:val="1"/>
                <w:color w:val="003366"/>
              </w:rPr>
              <w:t xml:space="preserve">Prior 2026 Guidance Range </w:t>
            </w:r>
            <w:r>
              <w:rPr>
                <w:rFonts w:ascii="Times New Roman" w:cs="Times New Roman" w:eastAsia="Times New Roman" w:hAnsi="Times New Roman"/>
                <w:sz w:val="20"/>
                <w:szCs w:val="20"/>
                <w:b w:val="1"/>
                <w:bCs w:val="1"/>
                <w:color w:val="003366"/>
                <w:vertAlign w:val="superscript"/>
              </w:rPr>
              <w:t>(1) (2)</w:t>
            </w:r>
          </w:p>
        </w:tc>
        <w:tc>
          <w:tcPr>
            <w:tcW w:w="140" w:type="dxa"/>
            <w:vAlign w:val="bottom"/>
          </w:tcPr>
          <w:p>
            <w:pPr>
              <w:spacing w:after="0"/>
              <w:rPr>
                <w:sz w:val="18"/>
                <w:szCs w:val="18"/>
                <w:color w:val="auto"/>
              </w:rPr>
            </w:pPr>
          </w:p>
        </w:tc>
        <w:tc>
          <w:tcPr>
            <w:tcW w:w="2440" w:type="dxa"/>
            <w:vAlign w:val="bottom"/>
            <w:gridSpan w:val="4"/>
          </w:tcPr>
          <w:p>
            <w:pPr>
              <w:jc w:val="right"/>
              <w:ind w:right="121"/>
              <w:spacing w:after="0" w:line="212" w:lineRule="exact"/>
              <w:rPr>
                <w:sz w:val="20"/>
                <w:szCs w:val="20"/>
                <w:color w:val="auto"/>
              </w:rPr>
            </w:pPr>
            <w:r>
              <w:rPr>
                <w:rFonts w:ascii="Times New Roman" w:cs="Times New Roman" w:eastAsia="Times New Roman" w:hAnsi="Times New Roman"/>
                <w:sz w:val="16"/>
                <w:szCs w:val="16"/>
                <w:b w:val="1"/>
                <w:bCs w:val="1"/>
                <w:color w:val="003366"/>
                <w:w w:val="98"/>
              </w:rPr>
              <w:t xml:space="preserve">Revised 2026 Guidance Range </w:t>
            </w:r>
            <w:r>
              <w:rPr>
                <w:rFonts w:ascii="Times New Roman" w:cs="Times New Roman" w:eastAsia="Times New Roman" w:hAnsi="Times New Roman"/>
                <w:sz w:val="20"/>
                <w:szCs w:val="20"/>
                <w:b w:val="1"/>
                <w:bCs w:val="1"/>
                <w:color w:val="003366"/>
                <w:w w:val="98"/>
                <w:vertAlign w:val="superscript"/>
              </w:rPr>
              <w:t>(2)</w:t>
            </w:r>
          </w:p>
        </w:tc>
      </w:tr>
      <w:tr>
        <w:trPr>
          <w:trHeight w:val="19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from Operations (FFO):</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1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32,668</w:t>
            </w:r>
          </w:p>
        </w:tc>
        <w:tc>
          <w:tcPr>
            <w:tcW w:w="8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30,871</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35,486</w:t>
            </w:r>
          </w:p>
        </w:tc>
      </w:tr>
      <w:tr>
        <w:trPr>
          <w:trHeight w:val="213"/>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real estate assets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126,925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126,925</w:t>
            </w:r>
          </w:p>
        </w:tc>
      </w:tr>
      <w:tr>
        <w:trPr>
          <w:trHeight w:val="205"/>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FFO, as defined by NAREIT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151,778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162,411</w:t>
            </w:r>
          </w:p>
        </w:tc>
      </w:tr>
      <w:tr>
        <w:trPr>
          <w:trHeight w:val="213"/>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Nonforfeitable dividends on restricted stock awards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05"/>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FFO attributable to common stock and units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150,944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161,726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156,926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161,541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number of common shares and units, diluted</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77,012,633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77,012,633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76,924,492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76,924,492</w:t>
            </w:r>
          </w:p>
        </w:tc>
      </w:tr>
      <w:tr>
        <w:trPr>
          <w:trHeight w:val="205"/>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FFO per diluted share, updated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87" w:lineRule="exact"/>
        <w:rPr>
          <w:sz w:val="20"/>
          <w:szCs w:val="20"/>
          <w:color w:val="auto"/>
        </w:rPr>
      </w:pPr>
    </w:p>
    <w:p>
      <w:pPr>
        <w:ind w:left="265" w:hanging="265"/>
        <w:spacing w:after="0"/>
        <w:tabs>
          <w:tab w:leader="none" w:pos="26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Prior 2026 Guidance Range as reported in the company's Fourth Quarter 2025 Supplemental Information.</w:t>
      </w:r>
    </w:p>
    <w:p>
      <w:pPr>
        <w:spacing w:after="0" w:line="14" w:lineRule="exact"/>
        <w:rPr>
          <w:rFonts w:ascii="Times New Roman" w:cs="Times New Roman" w:eastAsia="Times New Roman" w:hAnsi="Times New Roman"/>
          <w:sz w:val="13"/>
          <w:szCs w:val="13"/>
          <w:color w:val="auto"/>
        </w:rPr>
      </w:pPr>
    </w:p>
    <w:p>
      <w:pPr>
        <w:ind w:left="285" w:right="20" w:hanging="285"/>
        <w:spacing w:after="0" w:line="237" w:lineRule="auto"/>
        <w:tabs>
          <w:tab w:leader="none" w:pos="27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will discuss the company's guidance in more detail during tomorrow's earnings call. Except as discussed during the call, the company's guidance excludes any impact from future acquisitions, dispositions, equity issuances or repurchases, debt financing or repayments.</w:t>
      </w:r>
    </w:p>
    <w:p>
      <w:pPr>
        <w:spacing w:after="0" w:line="200" w:lineRule="exact"/>
        <w:rPr>
          <w:sz w:val="20"/>
          <w:szCs w:val="20"/>
          <w:color w:val="auto"/>
        </w:rPr>
      </w:pPr>
    </w:p>
    <w:p>
      <w:pPr>
        <w:spacing w:after="0" w:line="2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FFO is a non-GAAP supplemental earnings measure which we consider meaningful in measuring our operating performance.</w:t>
      </w:r>
    </w:p>
    <w:p>
      <w:pPr>
        <w:spacing w:after="0" w:line="88" w:lineRule="exact"/>
        <w:rPr>
          <w:sz w:val="20"/>
          <w:szCs w:val="20"/>
          <w:color w:val="auto"/>
        </w:rPr>
      </w:pPr>
    </w:p>
    <w:p>
      <w:pPr>
        <w:ind w:left="5" w:right="80"/>
        <w:spacing w:after="0" w:line="261" w:lineRule="auto"/>
        <w:rPr>
          <w:sz w:val="20"/>
          <w:szCs w:val="20"/>
          <w:color w:val="auto"/>
        </w:rPr>
      </w:pPr>
      <w:r>
        <w:rPr>
          <w:rFonts w:ascii="Times New Roman" w:cs="Times New Roman" w:eastAsia="Times New Roman" w:hAnsi="Times New Roman"/>
          <w:sz w:val="16"/>
          <w:szCs w:val="16"/>
          <w:color w:val="auto"/>
        </w:rPr>
        <w:t>The foregoing estimates are forward-looking and reflect management's view of current and future market conditions, including certain assumptions with respect to leasing activity, rental rates, occupancy levels, interest rates, credit spreads and the amount and timing of acquisition and development activities. The company's actual results may differ materially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18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72" w:lineRule="exact"/>
        <w:rPr>
          <w:sz w:val="20"/>
          <w:szCs w:val="20"/>
          <w:color w:val="auto"/>
        </w:rPr>
      </w:pPr>
    </w:p>
    <w:p>
      <w:pPr>
        <w:ind w:left="25"/>
        <w:spacing w:after="0"/>
        <w:tabs>
          <w:tab w:leader="none" w:pos="1078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9</w:t>
      </w:r>
    </w:p>
    <w:p>
      <w:pPr>
        <w:sectPr>
          <w:pgSz w:w="11900" w:h="16838" w:orient="portrait"/>
          <w:cols w:equalWidth="0" w:num="1">
            <w:col w:w="11265"/>
          </w:cols>
          <w:pgMar w:left="315" w:top="401" w:right="319" w:bottom="1440" w:gutter="0" w:footer="0" w:header="0"/>
        </w:sectPr>
      </w:pPr>
    </w:p>
    <w:bookmarkStart w:id="21" w:name="page22"/>
    <w:bookmarkEnd w:id="21"/>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SAME-STORE NET OPERATING INCOME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7"/>
              </w:rPr>
              <w:t xml:space="preserve">Three Months Ended September 30, 2026 </w:t>
            </w:r>
            <w:r>
              <w:rPr>
                <w:rFonts w:ascii="Times New Roman" w:cs="Times New Roman" w:eastAsia="Times New Roman" w:hAnsi="Times New Roman"/>
                <w:sz w:val="20"/>
                <w:szCs w:val="20"/>
                <w:b w:val="1"/>
                <w:bCs w:val="1"/>
                <w:color w:val="003366"/>
                <w:w w:val="97"/>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5"/>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003366"/>
              </w:rPr>
              <w:t>Office</w:t>
            </w:r>
          </w:p>
        </w:tc>
        <w:tc>
          <w:tcPr>
            <w:tcW w:w="1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03366"/>
              </w:rPr>
              <w:t>Retail</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7"/>
              </w:rPr>
              <w:t>Multifamily</w:t>
            </w: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003366"/>
              </w:rPr>
              <w:t>Mixed-Use</w:t>
            </w:r>
          </w:p>
        </w:tc>
        <w:tc>
          <w:tcPr>
            <w:tcW w:w="26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003366"/>
              </w:rPr>
              <w:t>Total</w:t>
            </w:r>
          </w:p>
        </w:tc>
      </w:tr>
      <w:tr>
        <w:trPr>
          <w:trHeight w:val="19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rental revenue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18,130</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114,273</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55,288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18,130</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114,284</w:t>
            </w:r>
          </w:p>
        </w:tc>
      </w:tr>
      <w:tr>
        <w:trPr>
          <w:trHeight w:val="21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43,052</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5"/>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43,150</w:t>
            </w:r>
          </w:p>
        </w:tc>
      </w:tr>
      <w:tr>
        <w:trPr>
          <w:trHeight w:val="21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(NOI)</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71,221</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5"/>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71,134</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Same-store NOI</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71,221</w:t>
            </w:r>
          </w:p>
        </w:tc>
      </w:tr>
      <w:tr>
        <w:trPr>
          <w:trHeight w:val="213"/>
        </w:trPr>
        <w:tc>
          <w:tcPr>
            <w:tcW w:w="53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straight-line rents </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3"/>
        </w:trPr>
        <w:tc>
          <w:tcPr>
            <w:tcW w:w="53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Amortization of net above (below) market rents </w:t>
            </w:r>
            <w:r>
              <w:rPr>
                <w:rFonts w:ascii="Times New Roman" w:cs="Times New Roman" w:eastAsia="Times New Roman" w:hAnsi="Times New Roman"/>
                <w:sz w:val="20"/>
                <w:szCs w:val="20"/>
                <w:color w:val="auto"/>
                <w:vertAlign w:val="superscript"/>
              </w:rPr>
              <w: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53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other lease assets </w:t>
            </w:r>
            <w:r>
              <w:rPr>
                <w:rFonts w:ascii="Times New Roman" w:cs="Times New Roman" w:eastAsia="Times New Roman" w:hAnsi="Times New Roman"/>
                <w:sz w:val="20"/>
                <w:szCs w:val="20"/>
                <w:color w:val="auto"/>
                <w:vertAlign w:val="superscript"/>
              </w:rPr>
              <w:t>(4)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53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Lease termination fees and tenant improvement reimbursements </w:t>
            </w:r>
            <w:r>
              <w:rPr>
                <w:rFonts w:ascii="Times New Roman" w:cs="Times New Roman" w:eastAsia="Times New Roman" w:hAnsi="Times New Roman"/>
                <w:sz w:val="20"/>
                <w:szCs w:val="20"/>
                <w:color w:val="auto"/>
                <w:vertAlign w:val="superscript"/>
              </w:rPr>
              <w:t>(5)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5"/>
        </w:trPr>
        <w:tc>
          <w:tcPr>
            <w:tcW w:w="530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Same-store cash NOI </w:t>
            </w:r>
            <w:r>
              <w:rPr>
                <w:rFonts w:ascii="Times New Roman" w:cs="Times New Roman" w:eastAsia="Times New Roman" w:hAnsi="Times New Roman"/>
                <w:sz w:val="20"/>
                <w:szCs w:val="20"/>
                <w:color w:val="auto"/>
                <w:vertAlign w:val="superscript"/>
              </w:rPr>
              <w:t>(5)</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69,759</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Same-store and non-same-store classifications are determined based on properties held on September 30, 2026 and 2025. See Glossary of Terms.</w:t>
      </w: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straight-line rent income recognized during the period offset by cash received during the period and the provision for bad debts recorded for deferred rent receivable balances.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related to the acquisition of buildings with above (below) market rents.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amortization of lease incentives paid to tenants, amortization of lease intangibles and straight-line rent expense for our leases at the Annex at The Landmark at One Market.</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spacing w:after="0" w:line="198" w:lineRule="exact"/>
        <w:rPr>
          <w:sz w:val="20"/>
          <w:szCs w:val="20"/>
          <w:color w:val="auto"/>
        </w:rPr>
      </w:pPr>
    </w:p>
    <w:p>
      <w:pPr>
        <w:ind w:left="5" w:right="180"/>
        <w:spacing w:after="0" w:line="276" w:lineRule="auto"/>
        <w:rPr>
          <w:sz w:val="20"/>
          <w:szCs w:val="20"/>
          <w:color w:val="auto"/>
        </w:rPr>
      </w:pPr>
      <w:r>
        <w:rPr>
          <w:rFonts w:ascii="Times New Roman" w:cs="Times New Roman" w:eastAsia="Times New Roman" w:hAnsi="Times New Roman"/>
          <w:sz w:val="16"/>
          <w:szCs w:val="16"/>
          <w:color w:val="auto"/>
        </w:rPr>
        <w:t>NOI and same-store cash NOI are non-GAAP supplemental earnings measures which we consider meaningful in measuring our operating performance. Reconciliations of NOI and same-store cash NOI to net income are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418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8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10</w:t>
      </w:r>
    </w:p>
    <w:p>
      <w:pPr>
        <w:sectPr>
          <w:pgSz w:w="11900" w:h="16838" w:orient="portrait"/>
          <w:cols w:equalWidth="0" w:num="1">
            <w:col w:w="11265"/>
          </w:cols>
          <w:pgMar w:left="315" w:top="401" w:right="319" w:bottom="1440" w:gutter="0" w:footer="0" w:header="0"/>
        </w:sectPr>
      </w:pPr>
    </w:p>
    <w:bookmarkStart w:id="22" w:name="page23"/>
    <w:bookmarkEnd w:id="22"/>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SAME-STORE NET OPERATING INCOME (NOI)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003366"/>
                <w:w w:val="97"/>
              </w:rPr>
              <w:t xml:space="preserve">Nine Months Ended September 30, 2026 </w:t>
            </w:r>
            <w:r>
              <w:rPr>
                <w:rFonts w:ascii="Times New Roman" w:cs="Times New Roman" w:eastAsia="Times New Roman" w:hAnsi="Times New Roman"/>
                <w:sz w:val="20"/>
                <w:szCs w:val="20"/>
                <w:b w:val="1"/>
                <w:bCs w:val="1"/>
                <w:color w:val="003366"/>
                <w:w w:val="97"/>
                <w:vertAlign w:val="superscript"/>
              </w:rPr>
              <w:t>(1)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05"/>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Office</w:t>
            </w:r>
          </w:p>
        </w:tc>
        <w:tc>
          <w:tcPr>
            <w:tcW w:w="20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Retail</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7"/>
              </w:rPr>
              <w:t>Multifamily</w:t>
            </w:r>
          </w:p>
        </w:tc>
        <w:tc>
          <w:tcPr>
            <w:tcW w:w="14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003366"/>
              </w:rPr>
              <w:t>Mixed-Use</w:t>
            </w:r>
          </w:p>
        </w:tc>
        <w:tc>
          <w:tcPr>
            <w:tcW w:w="240" w:type="dxa"/>
            <w:vAlign w:val="bottom"/>
          </w:tcPr>
          <w:p>
            <w:pPr>
              <w:spacing w:after="0"/>
              <w:rPr>
                <w:sz w:val="17"/>
                <w:szCs w:val="17"/>
                <w:color w:val="auto"/>
              </w:rPr>
            </w:pP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003366"/>
              </w:rPr>
              <w:t>Total</w:t>
            </w:r>
          </w:p>
        </w:tc>
      </w:tr>
      <w:tr>
        <w:trPr>
          <w:trHeight w:val="19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rental revenue</w:t>
            </w: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153,702</w:t>
            </w:r>
          </w:p>
        </w:tc>
        <w:tc>
          <w:tcPr>
            <w:tcW w:w="10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69,807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52,338</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325,739</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8,620</w:t>
            </w:r>
          </w:p>
        </w:tc>
      </w:tr>
      <w:tr>
        <w:trPr>
          <w:trHeight w:val="205"/>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69,825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52,338</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334,359</w:t>
            </w:r>
          </w:p>
        </w:tc>
      </w:tr>
      <w:tr>
        <w:trPr>
          <w:trHeight w:val="21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122,880</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5,496</w:t>
            </w:r>
          </w:p>
        </w:tc>
      </w:tr>
      <w:tr>
        <w:trPr>
          <w:trHeight w:val="205"/>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18,159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128,376</w:t>
            </w:r>
          </w:p>
        </w:tc>
      </w:tr>
      <w:tr>
        <w:trPr>
          <w:trHeight w:val="21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(NOI)</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Same-store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202,859</w:t>
            </w:r>
          </w:p>
        </w:tc>
      </w:tr>
      <w:tr>
        <w:trPr>
          <w:trHeight w:val="21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Non-same-store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3,124</w:t>
            </w:r>
          </w:p>
        </w:tc>
      </w:tr>
      <w:tr>
        <w:trPr>
          <w:trHeight w:val="205"/>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108,301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51,666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205,983</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Same-store NOI</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51,668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202,859</w:t>
            </w:r>
          </w:p>
        </w:tc>
      </w:tr>
      <w:tr>
        <w:trPr>
          <w:trHeight w:val="213"/>
        </w:trPr>
        <w:tc>
          <w:tcPr>
            <w:tcW w:w="53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straight-line rents </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1,654</w:t>
            </w:r>
          </w:p>
        </w:tc>
      </w:tr>
      <w:tr>
        <w:trPr>
          <w:trHeight w:val="213"/>
        </w:trPr>
        <w:tc>
          <w:tcPr>
            <w:tcW w:w="53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Amortization of net above (below) market rents </w:t>
            </w:r>
            <w:r>
              <w:rPr>
                <w:rFonts w:ascii="Times New Roman" w:cs="Times New Roman" w:eastAsia="Times New Roman" w:hAnsi="Times New Roman"/>
                <w:sz w:val="20"/>
                <w:szCs w:val="20"/>
                <w:color w:val="auto"/>
                <w:vertAlign w:val="superscript"/>
              </w:rPr>
              <w:t>(3)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213"/>
        </w:trPr>
        <w:tc>
          <w:tcPr>
            <w:tcW w:w="53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Net effect of other lease assets </w:t>
            </w:r>
            <w:r>
              <w:rPr>
                <w:rFonts w:ascii="Times New Roman" w:cs="Times New Roman" w:eastAsia="Times New Roman" w:hAnsi="Times New Roman"/>
                <w:sz w:val="20"/>
                <w:szCs w:val="20"/>
                <w:color w:val="auto"/>
                <w:vertAlign w:val="superscript"/>
              </w:rPr>
              <w:t>(4)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r>
      <w:tr>
        <w:trPr>
          <w:trHeight w:val="213"/>
        </w:trPr>
        <w:tc>
          <w:tcPr>
            <w:tcW w:w="53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Lease termination fees and tenant improvement reimbursements </w:t>
            </w:r>
            <w:r>
              <w:rPr>
                <w:rFonts w:ascii="Times New Roman" w:cs="Times New Roman" w:eastAsia="Times New Roman" w:hAnsi="Times New Roman"/>
                <w:sz w:val="20"/>
                <w:szCs w:val="20"/>
                <w:color w:val="auto"/>
                <w:vertAlign w:val="superscript"/>
              </w:rPr>
              <w:t>(5)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05"/>
        </w:trPr>
        <w:tc>
          <w:tcPr>
            <w:tcW w:w="530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Same-store cash NOI </w:t>
            </w:r>
            <w:r>
              <w:rPr>
                <w:rFonts w:ascii="Times New Roman" w:cs="Times New Roman" w:eastAsia="Times New Roman" w:hAnsi="Times New Roman"/>
                <w:sz w:val="20"/>
                <w:szCs w:val="20"/>
                <w:color w:val="auto"/>
                <w:vertAlign w:val="superscript"/>
              </w:rPr>
              <w:t>(5)</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51,025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202,334</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Same-store and non-same-store classifications are determined based on properties held on September 30, 2026 and 2025. See Glossary of Terms.</w:t>
      </w: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straight-line rent income recognized during the period offset by cash received during the period and the provision for bad debts recorded for deferred rent receivable balances.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related to the acquisition of buildings with above (below) market rents.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amortization of lease incentives paid to tenants, amortization of lease intangibles, and straight-line rent expense for our leases at the Annex at The Landmark at One Market.</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spacing w:after="0" w:line="200" w:lineRule="exact"/>
        <w:rPr>
          <w:sz w:val="20"/>
          <w:szCs w:val="20"/>
          <w:color w:val="auto"/>
        </w:rPr>
      </w:pPr>
    </w:p>
    <w:p>
      <w:pPr>
        <w:spacing w:after="0" w:line="211" w:lineRule="exact"/>
        <w:rPr>
          <w:sz w:val="20"/>
          <w:szCs w:val="20"/>
          <w:color w:val="auto"/>
        </w:rPr>
      </w:pPr>
    </w:p>
    <w:p>
      <w:pPr>
        <w:ind w:left="5" w:right="180"/>
        <w:spacing w:after="0" w:line="276" w:lineRule="auto"/>
        <w:rPr>
          <w:sz w:val="20"/>
          <w:szCs w:val="20"/>
          <w:color w:val="auto"/>
        </w:rPr>
      </w:pPr>
      <w:r>
        <w:rPr>
          <w:rFonts w:ascii="Times New Roman" w:cs="Times New Roman" w:eastAsia="Times New Roman" w:hAnsi="Times New Roman"/>
          <w:sz w:val="16"/>
          <w:szCs w:val="16"/>
          <w:color w:val="auto"/>
        </w:rPr>
        <w:t>NOI and same-store cash NOI are non-GAAP supplemental earnings measures which we consider meaningful in measuring our operating performance. Reconciliations of NOI and same-store cash NOI to net income are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515620</wp:posOffset>
            </wp:positionV>
            <wp:extent cx="714184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11</w:t>
      </w:r>
    </w:p>
    <w:p>
      <w:pPr>
        <w:sectPr>
          <w:pgSz w:w="11900" w:h="16838" w:orient="portrait"/>
          <w:cols w:equalWidth="0" w:num="1">
            <w:col w:w="11265"/>
          </w:cols>
          <w:pgMar w:left="315" w:top="401" w:right="319" w:bottom="1440" w:gutter="0" w:footer="0" w:header="0"/>
        </w:sectPr>
      </w:pPr>
    </w:p>
    <w:bookmarkStart w:id="23" w:name="page24"/>
    <w:bookmarkEnd w:id="23"/>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SAME-STORE CASH NOI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8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003366"/>
              </w:rPr>
              <w:t>Three Months Ended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003366"/>
              </w:rPr>
              <w:t>Nine Months Ended</w:t>
            </w:r>
          </w:p>
        </w:tc>
        <w:tc>
          <w:tcPr>
            <w:tcW w:w="1060" w:type="dxa"/>
            <w:vAlign w:val="bottom"/>
          </w:tcPr>
          <w:p>
            <w:pPr>
              <w:spacing w:after="0"/>
              <w:rPr>
                <w:sz w:val="18"/>
                <w:szCs w:val="18"/>
                <w:color w:val="auto"/>
              </w:rPr>
            </w:pPr>
          </w:p>
        </w:tc>
      </w:tr>
      <w:tr>
        <w:trPr>
          <w:trHeight w:val="212"/>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003366"/>
              </w:rPr>
              <w:t>September 30,</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5"/>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w w:val="93"/>
              </w:rPr>
              <w:t>2025</w:t>
            </w:r>
          </w:p>
        </w:tc>
        <w:tc>
          <w:tcPr>
            <w:tcW w:w="8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003366"/>
              </w:rPr>
              <w:t>Change</w:t>
            </w:r>
          </w:p>
        </w:tc>
        <w:tc>
          <w:tcPr>
            <w:tcW w:w="280" w:type="dxa"/>
            <w:vAlign w:val="bottom"/>
          </w:tcPr>
          <w:p>
            <w:pPr>
              <w:spacing w:after="0"/>
              <w:rPr>
                <w:sz w:val="17"/>
                <w:szCs w:val="17"/>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003366"/>
                <w:w w:val="99"/>
              </w:rPr>
              <w:t>2025</w:t>
            </w:r>
          </w:p>
        </w:tc>
        <w:tc>
          <w:tcPr>
            <w:tcW w:w="8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003366"/>
              </w:rPr>
              <w:t>Change</w:t>
            </w:r>
          </w:p>
        </w:tc>
      </w:tr>
      <w:tr>
        <w:trPr>
          <w:trHeight w:val="19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Basis:</w:t>
            </w: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34,196</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107,330</w:t>
            </w:r>
          </w:p>
        </w:tc>
        <w:tc>
          <w:tcPr>
            <w:tcW w:w="8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105,368</w:t>
            </w:r>
          </w:p>
        </w:tc>
        <w:tc>
          <w:tcPr>
            <w:tcW w:w="8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8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26,046</w:t>
            </w:r>
          </w:p>
        </w:tc>
        <w:tc>
          <w:tcPr>
            <w:tcW w:w="8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Mixed-Use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16,718</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0.7</w:t>
            </w:r>
          </w:p>
        </w:tc>
      </w:tr>
      <w:tr>
        <w:trPr>
          <w:trHeight w:val="205"/>
        </w:trPr>
        <w:tc>
          <w:tcPr>
            <w:tcW w:w="366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Same-store Cash NOI </w:t>
            </w:r>
            <w:r>
              <w:rPr>
                <w:rFonts w:ascii="Times New Roman" w:cs="Times New Roman" w:eastAsia="Times New Roman" w:hAnsi="Times New Roman"/>
                <w:sz w:val="20"/>
                <w:szCs w:val="20"/>
                <w:color w:val="auto"/>
                <w:vertAlign w:val="superscript"/>
              </w:rPr>
              <w:t>(1)(2)</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69,759</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64,441</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202,334</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197,768</w:t>
            </w:r>
          </w:p>
        </w:tc>
        <w:tc>
          <w:tcPr>
            <w:tcW w:w="80" w:type="dxa"/>
            <w:vAlign w:val="bottom"/>
          </w:tcPr>
          <w:p>
            <w:pPr>
              <w:spacing w:after="0"/>
              <w:rPr>
                <w:sz w:val="17"/>
                <w:szCs w:val="17"/>
                <w:color w:val="auto"/>
              </w:rPr>
            </w:pPr>
          </w:p>
        </w:tc>
        <w:tc>
          <w:tcPr>
            <w:tcW w:w="1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2.3 %</w:t>
            </w: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ind w:left="265" w:hanging="265"/>
        <w:spacing w:after="0"/>
        <w:tabs>
          <w:tab w:leader="none" w:pos="26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200" w:lineRule="exact"/>
        <w:rPr>
          <w:sz w:val="20"/>
          <w:szCs w:val="20"/>
          <w:color w:val="auto"/>
        </w:rPr>
      </w:pPr>
    </w:p>
    <w:p>
      <w:pPr>
        <w:spacing w:after="0" w:line="223"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Same-store cash NOI is a non-GAAP supplemental earnings measure which we consider meaningful in measuring our operating performance. A reconciliation of same-store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184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60"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12</w:t>
      </w:r>
    </w:p>
    <w:p>
      <w:pPr>
        <w:sectPr>
          <w:pgSz w:w="11900" w:h="16838" w:orient="portrait"/>
          <w:cols w:equalWidth="0" w:num="1">
            <w:col w:w="11265"/>
          </w:cols>
          <w:pgMar w:left="315" w:top="401" w:right="31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CASH NOI BY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003366"/>
                <w:w w:val="98"/>
              </w:rPr>
              <w:t>Three Months Ended September 30, 2026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5"/>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Office</w:t>
            </w:r>
          </w:p>
        </w:tc>
        <w:tc>
          <w:tcPr>
            <w:tcW w:w="2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003366"/>
              </w:rPr>
              <w:t>Retail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7"/>
              </w:rPr>
              <w:t>Multifamily</w:t>
            </w: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003366"/>
              </w:rPr>
              <w:t>Mixed-Use</w:t>
            </w:r>
          </w:p>
        </w:tc>
        <w:tc>
          <w:tcPr>
            <w:tcW w:w="240" w:type="dxa"/>
            <w:vAlign w:val="bottom"/>
          </w:tcPr>
          <w:p>
            <w:pPr>
              <w:spacing w:after="0"/>
              <w:rPr>
                <w:sz w:val="17"/>
                <w:szCs w:val="17"/>
                <w:color w:val="auto"/>
              </w:rPr>
            </w:pP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003366"/>
              </w:rPr>
              <w:t>Total</w:t>
            </w:r>
          </w:p>
        </w:tc>
      </w:tr>
      <w:tr>
        <w:trPr>
          <w:trHeight w:val="19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Basis:</w:t>
            </w: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California</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33,126</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Northern California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r>
      <w:tr>
        <w:trPr>
          <w:trHeight w:val="205"/>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NOI</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17,938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5,894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69,671</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Cash NOI is a non-GAAP supplemental earnings measure which we consider meaningful in measuring our operating performance. A reconciliation of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372745</wp:posOffset>
            </wp:positionV>
            <wp:extent cx="714184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13</w:t>
      </w:r>
    </w:p>
    <w:p>
      <w:pPr>
        <w:sectPr>
          <w:pgSz w:w="11900" w:h="16838" w:orient="portrait"/>
          <w:cols w:equalWidth="0" w:num="1">
            <w:col w:w="11260"/>
          </w:cols>
          <w:pgMar w:left="320" w:top="401" w:right="31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CASH NOI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003366"/>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120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0" cy="762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Cash NOI Breakdown</w:t>
      </w:r>
    </w:p>
    <w:p>
      <w:pPr>
        <w:spacing w:after="0" w:line="135" w:lineRule="exact"/>
        <w:rPr>
          <w:sz w:val="20"/>
          <w:szCs w:val="20"/>
          <w:color w:val="auto"/>
        </w:rPr>
      </w:pPr>
    </w:p>
    <w:p>
      <w:pPr>
        <w:ind w:left="1060"/>
        <w:spacing w:after="0"/>
        <w:tabs>
          <w:tab w:leader="none" w:pos="7160" w:val="left"/>
        </w:tabs>
        <w:rPr>
          <w:sz w:val="20"/>
          <w:szCs w:val="20"/>
          <w:color w:val="auto"/>
        </w:rPr>
      </w:pPr>
      <w:r>
        <w:rPr>
          <w:rFonts w:ascii="Times New Roman" w:cs="Times New Roman" w:eastAsia="Times New Roman" w:hAnsi="Times New Roman"/>
          <w:sz w:val="16"/>
          <w:szCs w:val="16"/>
          <w:b w:val="1"/>
          <w:bCs w:val="1"/>
          <w:color w:val="003366"/>
        </w:rPr>
        <w:t>Portfolio Diversification by Geographic Region</w:t>
      </w:r>
      <w:r>
        <w:rPr>
          <w:sz w:val="20"/>
          <w:szCs w:val="20"/>
          <w:color w:val="auto"/>
        </w:rPr>
        <w:tab/>
      </w:r>
      <w:r>
        <w:rPr>
          <w:rFonts w:ascii="Times New Roman" w:cs="Times New Roman" w:eastAsia="Times New Roman" w:hAnsi="Times New Roman"/>
          <w:sz w:val="15"/>
          <w:szCs w:val="15"/>
          <w:b w:val="1"/>
          <w:bCs w:val="1"/>
          <w:color w:val="003366"/>
        </w:rPr>
        <w:t>Portfolio Diversification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292735</wp:posOffset>
            </wp:positionV>
            <wp:extent cx="6984365" cy="1922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4365"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Cash NOI is a non-GAAP supplemental earnings measure which we consider meaningful in measuring our operating performance. A reconciliation of cash NOI to net income is included in the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1418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60"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14</w:t>
      </w:r>
    </w:p>
    <w:p>
      <w:pPr>
        <w:sectPr>
          <w:pgSz w:w="11900" w:h="16838" w:orient="portrait"/>
          <w:cols w:equalWidth="0" w:num="1">
            <w:col w:w="11220"/>
          </w:cols>
          <w:pgMar w:left="320" w:top="401" w:right="35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003366"/>
                <w:w w:val="98"/>
              </w:rPr>
              <w:t>Three Months Ended September 30, 2026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3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003366"/>
              </w:rPr>
              <w:t>Additional</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7"/>
              </w:rPr>
              <w:t>Property</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13"/>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Billed Expense</w:t>
            </w:r>
          </w:p>
        </w:tc>
        <w:tc>
          <w:tcPr>
            <w:tcW w:w="18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6"/>
              </w:rPr>
              <w:t>Operating</w:t>
            </w:r>
          </w:p>
        </w:tc>
        <w:tc>
          <w:tcPr>
            <w:tcW w:w="12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003366"/>
              </w:rPr>
              <w:t>Rental</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003366"/>
              </w:rPr>
              <w:t>Cash</w:t>
            </w:r>
          </w:p>
        </w:tc>
      </w:tr>
      <w:tr>
        <w:trPr>
          <w:trHeight w:val="212"/>
        </w:trPr>
        <w:tc>
          <w:tcPr>
            <w:tcW w:w="33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1"/>
              <w:spacing w:after="0" w:line="212" w:lineRule="exact"/>
              <w:rPr>
                <w:sz w:val="20"/>
                <w:szCs w:val="20"/>
                <w:color w:val="auto"/>
              </w:rPr>
            </w:pPr>
            <w:r>
              <w:rPr>
                <w:rFonts w:ascii="Times New Roman" w:cs="Times New Roman" w:eastAsia="Times New Roman" w:hAnsi="Times New Roman"/>
                <w:sz w:val="16"/>
                <w:szCs w:val="16"/>
                <w:b w:val="1"/>
                <w:bCs w:val="1"/>
                <w:color w:val="003366"/>
                <w:w w:val="97"/>
              </w:rPr>
              <w:t xml:space="preserve">Base Rent </w:t>
            </w:r>
            <w:r>
              <w:rPr>
                <w:rFonts w:ascii="Times New Roman" w:cs="Times New Roman" w:eastAsia="Times New Roman" w:hAnsi="Times New Roman"/>
                <w:sz w:val="20"/>
                <w:szCs w:val="20"/>
                <w:b w:val="1"/>
                <w:bCs w:val="1"/>
                <w:color w:val="003366"/>
                <w:w w:val="97"/>
                <w:vertAlign w:val="superscript"/>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1"/>
              <w:spacing w:after="0" w:line="212" w:lineRule="exact"/>
              <w:rPr>
                <w:sz w:val="20"/>
                <w:szCs w:val="20"/>
                <w:color w:val="auto"/>
              </w:rPr>
            </w:pPr>
            <w:r>
              <w:rPr>
                <w:rFonts w:ascii="Times New Roman" w:cs="Times New Roman" w:eastAsia="Times New Roman" w:hAnsi="Times New Roman"/>
                <w:sz w:val="16"/>
                <w:szCs w:val="16"/>
                <w:b w:val="1"/>
                <w:bCs w:val="1"/>
                <w:color w:val="003366"/>
              </w:rPr>
              <w:t xml:space="preserve">Income </w:t>
            </w:r>
            <w:r>
              <w:rPr>
                <w:rFonts w:ascii="Times New Roman" w:cs="Times New Roman" w:eastAsia="Times New Roman" w:hAnsi="Times New Roman"/>
                <w:sz w:val="20"/>
                <w:szCs w:val="20"/>
                <w:b w:val="1"/>
                <w:bCs w:val="1"/>
                <w:color w:val="003366"/>
                <w:vertAlign w:val="superscript"/>
              </w:rPr>
              <w:t>(2)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16"/>
                <w:szCs w:val="16"/>
                <w:b w:val="1"/>
                <w:bCs w:val="1"/>
                <w:color w:val="003366"/>
                <w:w w:val="96"/>
              </w:rPr>
              <w:t xml:space="preserve">Reimbursements </w:t>
            </w:r>
            <w:r>
              <w:rPr>
                <w:rFonts w:ascii="Times New Roman" w:cs="Times New Roman" w:eastAsia="Times New Roman" w:hAnsi="Times New Roman"/>
                <w:sz w:val="20"/>
                <w:szCs w:val="20"/>
                <w:b w:val="1"/>
                <w:bCs w:val="1"/>
                <w:color w:val="003366"/>
                <w:w w:val="96"/>
                <w:vertAlign w:val="superscript"/>
              </w:rPr>
              <w:t>(3)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
              <w:spacing w:after="0" w:line="212" w:lineRule="exact"/>
              <w:rPr>
                <w:sz w:val="20"/>
                <w:szCs w:val="20"/>
                <w:color w:val="auto"/>
              </w:rPr>
            </w:pPr>
            <w:r>
              <w:rPr>
                <w:rFonts w:ascii="Times New Roman" w:cs="Times New Roman" w:eastAsia="Times New Roman" w:hAnsi="Times New Roman"/>
                <w:sz w:val="16"/>
                <w:szCs w:val="16"/>
                <w:b w:val="1"/>
                <w:bCs w:val="1"/>
                <w:color w:val="003366"/>
              </w:rPr>
              <w:t xml:space="preserve">Expenses </w:t>
            </w:r>
            <w:r>
              <w:rPr>
                <w:rFonts w:ascii="Times New Roman" w:cs="Times New Roman" w:eastAsia="Times New Roman" w:hAnsi="Times New Roman"/>
                <w:sz w:val="20"/>
                <w:szCs w:val="20"/>
                <w:b w:val="1"/>
                <w:bCs w:val="1"/>
                <w:color w:val="003366"/>
                <w:vertAlign w:val="superscript"/>
              </w:rPr>
              <w:t>(4)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6"/>
                <w:szCs w:val="16"/>
                <w:b w:val="1"/>
                <w:bCs w:val="1"/>
                <w:color w:val="003366"/>
                <w:w w:val="95"/>
              </w:rPr>
              <w:t xml:space="preserve">Adjustments </w:t>
            </w:r>
            <w:r>
              <w:rPr>
                <w:rFonts w:ascii="Times New Roman" w:cs="Times New Roman" w:eastAsia="Times New Roman" w:hAnsi="Times New Roman"/>
                <w:sz w:val="20"/>
                <w:szCs w:val="20"/>
                <w:b w:val="1"/>
                <w:bCs w:val="1"/>
                <w:color w:val="003366"/>
                <w:w w:val="95"/>
                <w:vertAlign w:val="superscript"/>
              </w:rPr>
              <w:t>(5)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80"/>
              <w:spacing w:after="0" w:line="212" w:lineRule="exact"/>
              <w:rPr>
                <w:sz w:val="20"/>
                <w:szCs w:val="20"/>
                <w:color w:val="auto"/>
              </w:rPr>
            </w:pPr>
            <w:r>
              <w:rPr>
                <w:rFonts w:ascii="Times New Roman" w:cs="Times New Roman" w:eastAsia="Times New Roman" w:hAnsi="Times New Roman"/>
                <w:sz w:val="24"/>
                <w:szCs w:val="24"/>
                <w:b w:val="1"/>
                <w:bCs w:val="1"/>
                <w:color w:val="003366"/>
                <w:vertAlign w:val="subscript"/>
              </w:rPr>
              <w:t>NOI</w:t>
            </w:r>
            <w:r>
              <w:rPr>
                <w:rFonts w:ascii="Times New Roman" w:cs="Times New Roman" w:eastAsia="Times New Roman" w:hAnsi="Times New Roman"/>
                <w:sz w:val="9"/>
                <w:szCs w:val="9"/>
                <w:b w:val="1"/>
                <w:bCs w:val="1"/>
                <w:color w:val="003366"/>
              </w:rPr>
              <w:t xml:space="preserve"> (6)</w:t>
            </w:r>
          </w:p>
        </w:tc>
      </w:tr>
      <w:tr>
        <w:trPr>
          <w:trHeight w:val="205"/>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Office Portfolio</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 Jolla Commons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10,682</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Coastal Collection at Torrey Reserve </w:t>
            </w:r>
            <w:r>
              <w:rPr>
                <w:rFonts w:ascii="Times New Roman" w:cs="Times New Roman" w:eastAsia="Times New Roman" w:hAnsi="Times New Roman"/>
                <w:sz w:val="20"/>
                <w:szCs w:val="20"/>
                <w:color w:val="auto"/>
                <w:vertAlign w:val="superscript"/>
              </w:rPr>
              <w:t>(7)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Torrey Point </w:t>
            </w:r>
            <w:r>
              <w:rPr>
                <w:rFonts w:ascii="Times New Roman" w:cs="Times New Roman" w:eastAsia="Times New Roman" w:hAnsi="Times New Roman"/>
                <w:sz w:val="20"/>
                <w:szCs w:val="20"/>
                <w:color w:val="auto"/>
                <w:vertAlign w:val="superscript"/>
              </w:rPr>
              <w:t>(8)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Solana Crossing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Beach Street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First &amp; Main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Lloyd Portfolio </w:t>
            </w:r>
            <w:r>
              <w:rPr>
                <w:rFonts w:ascii="Times New Roman" w:cs="Times New Roman" w:eastAsia="Times New Roman" w:hAnsi="Times New Roman"/>
                <w:sz w:val="20"/>
                <w:szCs w:val="20"/>
                <w:color w:val="auto"/>
                <w:vertAlign w:val="superscript"/>
              </w:rPr>
              <w:t>(8)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City Center Bellevue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14Acres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Timber Ridge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Timber Springs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Office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48,996</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5,782</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(2,721)</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36,883</w:t>
            </w:r>
          </w:p>
        </w:tc>
        <w:tc>
          <w:tcPr>
            <w:tcW w:w="20" w:type="dxa"/>
            <w:vAlign w:val="bottom"/>
          </w:tcPr>
          <w:p>
            <w:pPr>
              <w:spacing w:after="0"/>
              <w:rPr>
                <w:sz w:val="17"/>
                <w:szCs w:val="17"/>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Retail Portfolio</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Country Plaza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Carmel Mountain Plaza</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South Bay Marketplace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Gateway Marketplace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Lomas Santa Fe Plaza</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Solana Beach Towne Centre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Geary Marketplace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Shops at Kalakaua</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2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Alamo Quarry Market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20" w:type="dxa"/>
            <w:vAlign w:val="bottom"/>
            <w:shd w:val="clear" w:color="auto" w:fill="CCEEFF"/>
          </w:tcPr>
          <w:p>
            <w:pPr>
              <w:spacing w:after="0"/>
              <w:rPr>
                <w:sz w:val="18"/>
                <w:szCs w:val="18"/>
                <w:color w:val="auto"/>
              </w:rPr>
            </w:pPr>
          </w:p>
        </w:tc>
      </w:tr>
      <w:tr>
        <w:trPr>
          <w:trHeight w:val="213"/>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Hassalo on Eighth - Retail</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tcBorders>
              <w:bottom w:val="single" w:sz="8" w:color="auto"/>
            </w:tcBorders>
          </w:tcPr>
          <w:p>
            <w:pPr>
              <w:spacing w:after="0"/>
              <w:rPr>
                <w:sz w:val="18"/>
                <w:szCs w:val="18"/>
                <w:color w:val="auto"/>
              </w:rPr>
            </w:pPr>
          </w:p>
        </w:tc>
      </w:tr>
      <w:tr>
        <w:trPr>
          <w:trHeight w:val="205"/>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Retail Portfolio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17,938</w:t>
            </w:r>
          </w:p>
        </w:tc>
        <w:tc>
          <w:tcPr>
            <w:tcW w:w="20" w:type="dxa"/>
            <w:vAlign w:val="bottom"/>
            <w:shd w:val="clear" w:color="auto" w:fill="CCEEFF"/>
          </w:tcPr>
          <w:p>
            <w:pPr>
              <w:spacing w:after="0"/>
              <w:rPr>
                <w:sz w:val="17"/>
                <w:szCs w:val="17"/>
                <w:color w:val="auto"/>
              </w:rPr>
            </w:pPr>
          </w:p>
        </w:tc>
      </w:tr>
      <w:tr>
        <w:trPr>
          <w:trHeight w:val="485"/>
        </w:trPr>
        <w:tc>
          <w:tcPr>
            <w:tcW w:w="3400" w:type="dxa"/>
            <w:vAlign w:val="bottom"/>
            <w:tcBorders>
              <w:bottom w:val="single" w:sz="8" w:color="003366"/>
            </w:tcBorders>
            <w:gridSpan w:val="2"/>
          </w:tcPr>
          <w:p>
            <w:pPr>
              <w:spacing w:after="0"/>
              <w:rPr>
                <w:sz w:val="24"/>
                <w:szCs w:val="24"/>
                <w:color w:val="auto"/>
              </w:rPr>
            </w:pPr>
          </w:p>
        </w:tc>
        <w:tc>
          <w:tcPr>
            <w:tcW w:w="140" w:type="dxa"/>
            <w:vAlign w:val="bottom"/>
            <w:tcBorders>
              <w:bottom w:val="single" w:sz="8" w:color="003366"/>
            </w:tcBorders>
          </w:tcPr>
          <w:p>
            <w:pPr>
              <w:spacing w:after="0"/>
              <w:rPr>
                <w:sz w:val="24"/>
                <w:szCs w:val="24"/>
                <w:color w:val="auto"/>
              </w:rPr>
            </w:pPr>
          </w:p>
        </w:tc>
        <w:tc>
          <w:tcPr>
            <w:tcW w:w="106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80" w:type="dxa"/>
            <w:vAlign w:val="bottom"/>
            <w:tcBorders>
              <w:bottom w:val="single" w:sz="8" w:color="003366"/>
            </w:tcBorders>
          </w:tcPr>
          <w:p>
            <w:pPr>
              <w:spacing w:after="0"/>
              <w:rPr>
                <w:sz w:val="24"/>
                <w:szCs w:val="24"/>
                <w:color w:val="auto"/>
              </w:rPr>
            </w:pPr>
          </w:p>
        </w:tc>
        <w:tc>
          <w:tcPr>
            <w:tcW w:w="104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40" w:type="dxa"/>
            <w:vAlign w:val="bottom"/>
            <w:tcBorders>
              <w:bottom w:val="single" w:sz="8" w:color="003366"/>
            </w:tcBorders>
          </w:tcPr>
          <w:p>
            <w:pPr>
              <w:spacing w:after="0"/>
              <w:rPr>
                <w:sz w:val="24"/>
                <w:szCs w:val="24"/>
                <w:color w:val="auto"/>
              </w:rPr>
            </w:pPr>
          </w:p>
        </w:tc>
        <w:tc>
          <w:tcPr>
            <w:tcW w:w="126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80" w:type="dxa"/>
            <w:vAlign w:val="bottom"/>
            <w:tcBorders>
              <w:bottom w:val="single" w:sz="8" w:color="003366"/>
            </w:tcBorders>
          </w:tcPr>
          <w:p>
            <w:pPr>
              <w:spacing w:after="0"/>
              <w:rPr>
                <w:sz w:val="24"/>
                <w:szCs w:val="24"/>
                <w:color w:val="auto"/>
              </w:rPr>
            </w:pPr>
          </w:p>
        </w:tc>
        <w:tc>
          <w:tcPr>
            <w:tcW w:w="104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20" w:type="dxa"/>
            <w:vAlign w:val="bottom"/>
            <w:tcBorders>
              <w:bottom w:val="single" w:sz="8" w:color="003366"/>
            </w:tcBorders>
          </w:tcPr>
          <w:p>
            <w:pPr>
              <w:spacing w:after="0"/>
              <w:rPr>
                <w:sz w:val="24"/>
                <w:szCs w:val="24"/>
                <w:color w:val="auto"/>
              </w:rPr>
            </w:pPr>
          </w:p>
        </w:tc>
        <w:tc>
          <w:tcPr>
            <w:tcW w:w="110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260" w:type="dxa"/>
            <w:vAlign w:val="bottom"/>
            <w:tcBorders>
              <w:bottom w:val="single" w:sz="8" w:color="003366"/>
            </w:tcBorders>
          </w:tcPr>
          <w:p>
            <w:pPr>
              <w:spacing w:after="0"/>
              <w:rPr>
                <w:sz w:val="24"/>
                <w:szCs w:val="24"/>
                <w:color w:val="auto"/>
              </w:rPr>
            </w:pPr>
          </w:p>
        </w:tc>
        <w:tc>
          <w:tcPr>
            <w:tcW w:w="920" w:type="dxa"/>
            <w:vAlign w:val="bottom"/>
            <w:tcBorders>
              <w:bottom w:val="single" w:sz="8" w:color="003366"/>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3366"/>
              </w:rPr>
              <w:t>Third Quarter 2026 Supplemental Information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003366"/>
              </w:rPr>
              <w:t>Page 15</w:t>
            </w:r>
          </w:p>
        </w:tc>
      </w:tr>
    </w:tbl>
    <w:p>
      <w:pPr>
        <w:sectPr>
          <w:pgSz w:w="11900" w:h="16838" w:orient="portrait"/>
          <w:cols w:equalWidth="0" w:num="1">
            <w:col w:w="11260"/>
          </w:cols>
          <w:pgMar w:left="320" w:top="401" w:right="319" w:bottom="1440" w:gutter="0" w:footer="0" w:header="0"/>
        </w:sectPr>
      </w:pPr>
    </w:p>
    <w:bookmarkStart w:id="27" w:name="page28"/>
    <w:bookmarkEnd w:id="27"/>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Three Months Ended September 30, 2026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5"/>
        </w:trPr>
        <w:tc>
          <w:tcPr>
            <w:tcW w:w="3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003366"/>
                <w:w w:val="98"/>
              </w:rPr>
              <w:t>Additional</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3"/>
        </w:trPr>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003366"/>
                <w:w w:val="97"/>
              </w:rPr>
              <w:t>Property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003366"/>
                <w:w w:val="97"/>
              </w:rPr>
              <w:t>Billed Expense</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Operating</w:t>
            </w: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003366"/>
              </w:rPr>
              <w:t>Rental</w:t>
            </w:r>
          </w:p>
        </w:tc>
        <w:tc>
          <w:tcPr>
            <w:tcW w:w="240" w:type="dxa"/>
            <w:vAlign w:val="bottom"/>
          </w:tcPr>
          <w:p>
            <w:pPr>
              <w:spacing w:after="0"/>
              <w:rPr>
                <w:sz w:val="18"/>
                <w:szCs w:val="18"/>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003366"/>
              </w:rPr>
              <w:t>Cash</w:t>
            </w:r>
          </w:p>
        </w:tc>
      </w:tr>
      <w:tr>
        <w:trPr>
          <w:trHeight w:val="212"/>
        </w:trPr>
        <w:tc>
          <w:tcPr>
            <w:tcW w:w="34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b w:val="1"/>
                <w:bCs w:val="1"/>
                <w:color w:val="003366"/>
              </w:rPr>
              <w:t>Property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1"/>
              <w:spacing w:after="0" w:line="212" w:lineRule="exact"/>
              <w:rPr>
                <w:sz w:val="20"/>
                <w:szCs w:val="20"/>
                <w:color w:val="auto"/>
              </w:rPr>
            </w:pPr>
            <w:r>
              <w:rPr>
                <w:rFonts w:ascii="Times New Roman" w:cs="Times New Roman" w:eastAsia="Times New Roman" w:hAnsi="Times New Roman"/>
                <w:sz w:val="16"/>
                <w:szCs w:val="16"/>
                <w:b w:val="1"/>
                <w:bCs w:val="1"/>
                <w:color w:val="003366"/>
                <w:w w:val="97"/>
              </w:rPr>
              <w:t xml:space="preserve">Base Rent </w:t>
            </w:r>
            <w:r>
              <w:rPr>
                <w:rFonts w:ascii="Times New Roman" w:cs="Times New Roman" w:eastAsia="Times New Roman" w:hAnsi="Times New Roman"/>
                <w:sz w:val="20"/>
                <w:szCs w:val="20"/>
                <w:b w:val="1"/>
                <w:bCs w:val="1"/>
                <w:color w:val="003366"/>
                <w:w w:val="97"/>
                <w:vertAlign w:val="superscript"/>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1"/>
              <w:spacing w:after="0" w:line="212" w:lineRule="exact"/>
              <w:rPr>
                <w:sz w:val="20"/>
                <w:szCs w:val="20"/>
                <w:color w:val="auto"/>
              </w:rPr>
            </w:pPr>
            <w:r>
              <w:rPr>
                <w:rFonts w:ascii="Times New Roman" w:cs="Times New Roman" w:eastAsia="Times New Roman" w:hAnsi="Times New Roman"/>
                <w:sz w:val="16"/>
                <w:szCs w:val="16"/>
                <w:b w:val="1"/>
                <w:bCs w:val="1"/>
                <w:color w:val="003366"/>
                <w:w w:val="93"/>
              </w:rPr>
              <w:t xml:space="preserve">Income </w:t>
            </w:r>
            <w:r>
              <w:rPr>
                <w:rFonts w:ascii="Times New Roman" w:cs="Times New Roman" w:eastAsia="Times New Roman" w:hAnsi="Times New Roman"/>
                <w:sz w:val="20"/>
                <w:szCs w:val="20"/>
                <w:b w:val="1"/>
                <w:bCs w:val="1"/>
                <w:color w:val="003366"/>
                <w:w w:val="93"/>
                <w:vertAlign w:val="superscript"/>
              </w:rPr>
              <w:t>(2)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center"/>
              <w:spacing w:after="0" w:line="212" w:lineRule="exact"/>
              <w:rPr>
                <w:sz w:val="20"/>
                <w:szCs w:val="20"/>
                <w:color w:val="auto"/>
              </w:rPr>
            </w:pPr>
            <w:r>
              <w:rPr>
                <w:rFonts w:ascii="Times New Roman" w:cs="Times New Roman" w:eastAsia="Times New Roman" w:hAnsi="Times New Roman"/>
                <w:sz w:val="16"/>
                <w:szCs w:val="16"/>
                <w:b w:val="1"/>
                <w:bCs w:val="1"/>
                <w:color w:val="003366"/>
                <w:w w:val="96"/>
              </w:rPr>
              <w:t xml:space="preserve">Reimbursements </w:t>
            </w:r>
            <w:r>
              <w:rPr>
                <w:rFonts w:ascii="Times New Roman" w:cs="Times New Roman" w:eastAsia="Times New Roman" w:hAnsi="Times New Roman"/>
                <w:sz w:val="20"/>
                <w:szCs w:val="20"/>
                <w:b w:val="1"/>
                <w:bCs w:val="1"/>
                <w:color w:val="003366"/>
                <w:w w:val="96"/>
                <w:vertAlign w:val="superscript"/>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1"/>
              <w:spacing w:after="0" w:line="212" w:lineRule="exact"/>
              <w:rPr>
                <w:sz w:val="20"/>
                <w:szCs w:val="20"/>
                <w:color w:val="auto"/>
              </w:rPr>
            </w:pPr>
            <w:r>
              <w:rPr>
                <w:rFonts w:ascii="Times New Roman" w:cs="Times New Roman" w:eastAsia="Times New Roman" w:hAnsi="Times New Roman"/>
                <w:sz w:val="16"/>
                <w:szCs w:val="16"/>
                <w:b w:val="1"/>
                <w:bCs w:val="1"/>
                <w:color w:val="003366"/>
                <w:w w:val="94"/>
              </w:rPr>
              <w:t xml:space="preserve">Expenses </w:t>
            </w:r>
            <w:r>
              <w:rPr>
                <w:rFonts w:ascii="Times New Roman" w:cs="Times New Roman" w:eastAsia="Times New Roman" w:hAnsi="Times New Roman"/>
                <w:sz w:val="20"/>
                <w:szCs w:val="20"/>
                <w:b w:val="1"/>
                <w:bCs w:val="1"/>
                <w:color w:val="003366"/>
                <w:w w:val="94"/>
                <w:vertAlign w:val="superscript"/>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line="212" w:lineRule="exact"/>
              <w:rPr>
                <w:sz w:val="20"/>
                <w:szCs w:val="20"/>
                <w:color w:val="auto"/>
              </w:rPr>
            </w:pPr>
            <w:r>
              <w:rPr>
                <w:rFonts w:ascii="Times New Roman" w:cs="Times New Roman" w:eastAsia="Times New Roman" w:hAnsi="Times New Roman"/>
                <w:sz w:val="16"/>
                <w:szCs w:val="16"/>
                <w:b w:val="1"/>
                <w:bCs w:val="1"/>
                <w:color w:val="003366"/>
                <w:w w:val="93"/>
              </w:rPr>
              <w:t xml:space="preserve">Adjustments </w:t>
            </w:r>
            <w:r>
              <w:rPr>
                <w:rFonts w:ascii="Times New Roman" w:cs="Times New Roman" w:eastAsia="Times New Roman" w:hAnsi="Times New Roman"/>
                <w:sz w:val="20"/>
                <w:szCs w:val="20"/>
                <w:b w:val="1"/>
                <w:bCs w:val="1"/>
                <w:color w:val="003366"/>
                <w:w w:val="93"/>
                <w:vertAlign w:val="superscript"/>
              </w:rPr>
              <w:t>(5)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3"/>
              <w:spacing w:after="0" w:line="212" w:lineRule="exact"/>
              <w:rPr>
                <w:sz w:val="20"/>
                <w:szCs w:val="20"/>
                <w:color w:val="auto"/>
              </w:rPr>
            </w:pPr>
            <w:r>
              <w:rPr>
                <w:rFonts w:ascii="Times New Roman" w:cs="Times New Roman" w:eastAsia="Times New Roman" w:hAnsi="Times New Roman"/>
                <w:sz w:val="24"/>
                <w:szCs w:val="24"/>
                <w:b w:val="1"/>
                <w:bCs w:val="1"/>
                <w:color w:val="003366"/>
                <w:vertAlign w:val="subscript"/>
              </w:rPr>
              <w:t>NOI</w:t>
            </w:r>
            <w:r>
              <w:rPr>
                <w:rFonts w:ascii="Times New Roman" w:cs="Times New Roman" w:eastAsia="Times New Roman" w:hAnsi="Times New Roman"/>
                <w:sz w:val="9"/>
                <w:szCs w:val="9"/>
                <w:b w:val="1"/>
                <w:bCs w:val="1"/>
                <w:color w:val="003366"/>
              </w:rPr>
              <w:t xml:space="preserve"> (6)</w:t>
            </w:r>
          </w:p>
        </w:tc>
      </w:tr>
      <w:tr>
        <w:trPr>
          <w:trHeight w:val="205"/>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Multifamily Portfolio</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Loma Palisades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r>
      <w:tr>
        <w:trPr>
          <w:trHeight w:val="21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Imperial Beach Gardens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Mariner's Point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Fe Park RV Resort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Pacific Ridge Apartments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1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Genesee Park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Hassalo on Eighth - Multifamily</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r>
      <w:tr>
        <w:trPr>
          <w:trHeight w:val="205"/>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Multifamily Portfolio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9,044</w:t>
            </w: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Mixed-Use Portfolio</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Waikiki Beach Walk -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Waikiki Beach Walk - Embassy Suites™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1,932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w:t>
            </w:r>
          </w:p>
        </w:tc>
      </w:tr>
      <w:tr>
        <w:trPr>
          <w:trHeight w:val="205"/>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Mixed-Use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13,799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5,894</w:t>
            </w:r>
          </w:p>
        </w:tc>
      </w:tr>
      <w:tr>
        <w:trPr>
          <w:trHeight w:val="205"/>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Subtotal Development Properties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r>
      <w:tr>
        <w:trPr>
          <w:trHeight w:val="225"/>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7,945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69,671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left="5" w:right="20"/>
        <w:spacing w:after="0" w:line="253" w:lineRule="auto"/>
        <w:rPr>
          <w:sz w:val="20"/>
          <w:szCs w:val="20"/>
          <w:color w:val="auto"/>
        </w:rPr>
      </w:pPr>
      <w:r>
        <w:rPr>
          <w:rFonts w:ascii="Times New Roman" w:cs="Times New Roman" w:eastAsia="Times New Roman" w:hAnsi="Times New Roman"/>
          <w:sz w:val="16"/>
          <w:szCs w:val="16"/>
          <w:color w:val="auto"/>
        </w:rPr>
        <w:t>Cash NOI is a non-GAAP supplemental earnings measure which the company considers meaningful in measuring its operating performance. A reconciliation of total cash NOI to net income is included in the Glossary of Terms.</w:t>
      </w:r>
    </w:p>
    <w:p>
      <w:pPr>
        <w:ind w:left="5"/>
        <w:spacing w:after="0" w:line="229" w:lineRule="auto"/>
        <w:rPr>
          <w:sz w:val="20"/>
          <w:szCs w:val="20"/>
          <w:color w:val="auto"/>
        </w:rPr>
      </w:pPr>
      <w:r>
        <w:rPr>
          <w:rFonts w:ascii="Times New Roman" w:cs="Times New Roman" w:eastAsia="Times New Roman" w:hAnsi="Times New Roman"/>
          <w:sz w:val="13"/>
          <w:szCs w:val="13"/>
          <w:color w:val="auto"/>
        </w:rPr>
        <w:t>Notes:</w:t>
      </w:r>
    </w:p>
    <w:p>
      <w:pPr>
        <w:ind w:left="285" w:right="20" w:hanging="285"/>
        <w:spacing w:after="0" w:line="244" w:lineRule="auto"/>
        <w:tabs>
          <w:tab w:leader="none" w:pos="27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rent for our office and retail portfolios and the retail portion of our mixed-use portfolio represents base rent for the three months ended September 30, 2026 (before deferrals, abatements, and tenant improvement reimbursements) and excludes the impact of straight-line rent and above (below) market rent adjustments. Total abatements for our office portfolio and retail portfolio were approximately $2.7 million and $0.1 million, respectively, for the three months ended September 30, 2026. There were no abatements for our mixed-use portfolio for the three months ended September 30, 2026. In the case of triple net or modified gross leases, annualized base rent does not include tenant reimbursements for real estate taxes, insurance, common area or other operating expenses. Multifamily portfolio base rent represents base rent (including parking, before abatements) less vacancy allowance and employee rent credits and includes additional rents (which include insufficient notice penalties, month-to-month charges and pet rent). There were $1.2 million of abatements for our multifamily portfolio for the three months ended September 30, 2026. For Waikiki Beach Walk - Embassy Suites</w:t>
      </w:r>
      <w:r>
        <w:rPr>
          <w:rFonts w:ascii="Times New Roman" w:cs="Times New Roman" w:eastAsia="Times New Roman" w:hAnsi="Times New Roman"/>
          <w:sz w:val="8"/>
          <w:szCs w:val="8"/>
          <w:color w:val="auto"/>
        </w:rPr>
        <w:t>TM</w:t>
      </w:r>
      <w:r>
        <w:rPr>
          <w:rFonts w:ascii="Times New Roman" w:cs="Times New Roman" w:eastAsia="Times New Roman" w:hAnsi="Times New Roman"/>
          <w:sz w:val="13"/>
          <w:szCs w:val="13"/>
          <w:color w:val="auto"/>
        </w:rPr>
        <w:t>, base rent is equal to the actual room revenue for the three months ended September 30, 2026. Total tenant improvement reimbursements for our office portfolio, retail portfolio and the retail portion of our mixed-use portfolio were approximately $0.2 million in the aggregate for the three months ended September 30, 2026. A reconciliation of base rent to rental income is shown below:</w:t>
      </w:r>
    </w:p>
    <w:p>
      <w:pPr>
        <w:spacing w:after="0" w:line="79" w:lineRule="exact"/>
        <w:rPr>
          <w:sz w:val="20"/>
          <w:szCs w:val="20"/>
          <w:color w:val="auto"/>
        </w:rPr>
      </w:pPr>
    </w:p>
    <w:tbl>
      <w:tblPr>
        <w:tblLayout w:type="fixed"/>
        <w:tblInd w:w="565" w:type="dxa"/>
        <w:tblCellMar>
          <w:top w:w="0" w:type="dxa"/>
          <w:left w:w="0" w:type="dxa"/>
          <w:bottom w:w="0" w:type="dxa"/>
          <w:right w:w="0" w:type="dxa"/>
        </w:tblCellMar>
      </w:tblPr>
      <w:tr>
        <w:trPr>
          <w:trHeight w:val="18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 Rent</w:t>
            </w:r>
          </w:p>
        </w:tc>
        <w:tc>
          <w:tcPr>
            <w:tcW w:w="86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97,840</w:t>
            </w:r>
          </w:p>
        </w:tc>
      </w:tr>
      <w:tr>
        <w:trPr>
          <w:trHeight w:val="16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Billed Expense Reimbursement</w:t>
            </w:r>
          </w:p>
        </w:tc>
        <w:tc>
          <w:tcPr>
            <w:tcW w:w="8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11,043</w:t>
            </w:r>
          </w:p>
        </w:tc>
      </w:tr>
      <w:tr>
        <w:trPr>
          <w:trHeight w:val="21"/>
        </w:trPr>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Percentage Rent</w:t>
            </w:r>
          </w:p>
        </w:tc>
        <w:tc>
          <w:tcPr>
            <w:tcW w:w="8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w:t>
            </w:r>
          </w:p>
        </w:tc>
      </w:tr>
      <w:tr>
        <w:trPr>
          <w:trHeight w:val="16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Straight-line rent components</w:t>
            </w:r>
          </w:p>
        </w:tc>
        <w:tc>
          <w:tcPr>
            <w:tcW w:w="8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r>
      <w:tr>
        <w:trPr>
          <w:trHeight w:val="21"/>
        </w:trPr>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Rental Income*</w:t>
            </w:r>
          </w:p>
        </w:tc>
        <w:tc>
          <w:tcPr>
            <w:tcW w:w="8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w:t>
            </w:r>
          </w:p>
        </w:tc>
      </w:tr>
      <w:tr>
        <w:trPr>
          <w:trHeight w:val="181"/>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Income</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107,837</w:t>
            </w:r>
          </w:p>
        </w:tc>
      </w:tr>
      <w:tr>
        <w:trPr>
          <w:trHeight w:val="20"/>
        </w:trPr>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3"/>
          <w:szCs w:val="13"/>
          <w:color w:val="auto"/>
        </w:rPr>
        <w:t>* Other rental income includes rent abatement, rent deferral, above market rent, below market rent, lease incentives, tenant improvement reimbursement, storage rent and other miscellaneous rental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4184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16</w:t>
      </w:r>
    </w:p>
    <w:p>
      <w:pPr>
        <w:sectPr>
          <w:pgSz w:w="11900" w:h="16838" w:orient="portrait"/>
          <w:cols w:equalWidth="0" w:num="1">
            <w:col w:w="11265"/>
          </w:cols>
          <w:pgMar w:left="315" w:top="401" w:right="319" w:bottom="1440" w:gutter="0" w:footer="0" w:header="0"/>
        </w:sectPr>
      </w:pPr>
    </w:p>
    <w:bookmarkStart w:id="28" w:name="page29"/>
    <w:bookmarkEnd w:id="28"/>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REVENUE AND OPERATING EXPENSES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5" w:right="160" w:hanging="285"/>
        <w:spacing w:after="0" w:line="255" w:lineRule="auto"/>
        <w:tabs>
          <w:tab w:leader="none" w:pos="27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additional property-related income for the three months ended September 30, 2026, which includes (i) percentage rent, (ii) other rent (such as storage rent, license fees and association fees) and (iii) other property income (such as late fees, default fees, parking revenue, the reimbursement of general excise taxes, laundry income and food and beverage sales), and excludes lease termination fees.</w:t>
      </w:r>
    </w:p>
    <w:p>
      <w:pPr>
        <w:ind w:left="265" w:hanging="265"/>
        <w:spacing w:after="0" w:line="233" w:lineRule="auto"/>
        <w:tabs>
          <w:tab w:leader="none" w:pos="26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billed tenant expense reimbursements for the three months ended September 30, 2026.</w:t>
      </w:r>
    </w:p>
    <w:p>
      <w:pPr>
        <w:ind w:left="265" w:hanging="265"/>
        <w:spacing w:after="0"/>
        <w:tabs>
          <w:tab w:leader="none" w:pos="26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property operating expenses for the three months ended September 30, 2026. Property operating expenses includes all rental expenses, except non cash rent expense.</w:t>
      </w:r>
    </w:p>
    <w:p>
      <w:pPr>
        <w:ind w:left="265" w:hanging="265"/>
        <w:spacing w:after="0"/>
        <w:tabs>
          <w:tab w:leader="none" w:pos="26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rental adjustments related to base rent (deferrals and abatements).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Coastal Collection at Torrey Reserve was formerly known as Torrey Reserve Campus.</w:t>
      </w:r>
    </w:p>
    <w:p>
      <w:pPr>
        <w:spacing w:after="0" w:line="4" w:lineRule="exact"/>
        <w:rPr>
          <w:rFonts w:ascii="Times New Roman" w:cs="Times New Roman" w:eastAsia="Times New Roman" w:hAnsi="Times New Roman"/>
          <w:sz w:val="13"/>
          <w:szCs w:val="13"/>
          <w:color w:val="auto"/>
        </w:rPr>
      </w:pPr>
    </w:p>
    <w:p>
      <w:pPr>
        <w:ind w:left="285" w:right="180" w:hanging="285"/>
        <w:spacing w:after="0" w:line="237" w:lineRule="auto"/>
        <w:tabs>
          <w:tab w:leader="none" w:pos="27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rent shown includes amounts related to American Assets Trust, L.P.'s corporate leases at Torrey Point and Lloyd Portfolio. This intercompany rent is eliminated in the consolidated statement of operations. The base rent and abatement were both $0.4 million 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539115</wp:posOffset>
            </wp:positionV>
            <wp:extent cx="714184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17</w:t>
      </w:r>
    </w:p>
    <w:p>
      <w:pPr>
        <w:sectPr>
          <w:pgSz w:w="11900" w:h="16838" w:orient="portrait"/>
          <w:cols w:equalWidth="0" w:num="1">
            <w:col w:w="11225"/>
          </w:cols>
          <w:pgMar w:left="315" w:top="401" w:right="359" w:bottom="1440" w:gutter="0" w:footer="0" w:header="0"/>
        </w:sectPr>
      </w:pPr>
    </w:p>
    <w:bookmarkStart w:id="29" w:name="page30"/>
    <w:bookmarkEnd w:id="29"/>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SEGMENT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Three Months Ended September 30, 2026</w:t>
            </w: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003366"/>
                <w:w w:val="96"/>
              </w:rPr>
              <w:t>Total Tenant</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003366"/>
                <w:w w:val="98"/>
              </w:rPr>
              <w:t>Improvements,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b w:val="1"/>
                <w:bCs w:val="1"/>
                <w:color w:val="003366"/>
                <w:w w:val="97"/>
              </w:rPr>
              <w:t>Leasing</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003366"/>
              </w:rPr>
              <w:t>Redevelopment,</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003366"/>
                <w:w w:val="96"/>
              </w:rPr>
              <w:t>Improvements</w:t>
            </w:r>
          </w:p>
        </w:tc>
        <w:tc>
          <w:tcPr>
            <w:tcW w:w="120" w:type="dxa"/>
            <w:vAlign w:val="bottom"/>
          </w:tcPr>
          <w:p>
            <w:pPr>
              <w:spacing w:after="0"/>
              <w:rPr>
                <w:sz w:val="13"/>
                <w:szCs w:val="13"/>
                <w:color w:val="auto"/>
              </w:rPr>
            </w:pPr>
          </w:p>
        </w:tc>
        <w:tc>
          <w:tcPr>
            <w:tcW w:w="110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8"/>
              </w:rPr>
              <w:t>Capital</w:t>
            </w:r>
          </w:p>
        </w:tc>
        <w:tc>
          <w:tcPr>
            <w:tcW w:w="100" w:type="dxa"/>
            <w:vAlign w:val="bottom"/>
          </w:tcPr>
          <w:p>
            <w:pPr>
              <w:spacing w:after="0"/>
              <w:rPr>
                <w:sz w:val="13"/>
                <w:szCs w:val="13"/>
                <w:color w:val="auto"/>
              </w:rPr>
            </w:pPr>
          </w:p>
        </w:tc>
        <w:tc>
          <w:tcPr>
            <w:tcW w:w="13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003366"/>
              </w:rPr>
              <w:t>Commissions and</w:t>
            </w:r>
          </w:p>
        </w:tc>
        <w:tc>
          <w:tcPr>
            <w:tcW w:w="1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003366"/>
                <w:w w:val="99"/>
              </w:rPr>
              <w:t>New</w:t>
            </w:r>
          </w:p>
        </w:tc>
        <w:tc>
          <w:tcPr>
            <w:tcW w:w="140" w:type="dxa"/>
            <w:vAlign w:val="bottom"/>
          </w:tcPr>
          <w:p>
            <w:pPr>
              <w:spacing w:after="0"/>
              <w:rPr>
                <w:sz w:val="13"/>
                <w:szCs w:val="13"/>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rPr>
              <w:t>Total Capital</w:t>
            </w:r>
          </w:p>
        </w:tc>
        <w:tc>
          <w:tcPr>
            <w:tcW w:w="0" w:type="dxa"/>
            <w:vAlign w:val="bottom"/>
          </w:tcPr>
          <w:p>
            <w:pPr>
              <w:spacing w:after="0"/>
              <w:rPr>
                <w:sz w:val="1"/>
                <w:szCs w:val="1"/>
                <w:color w:val="auto"/>
              </w:rPr>
            </w:pPr>
          </w:p>
        </w:tc>
      </w:tr>
      <w:tr>
        <w:trPr>
          <w:trHeight w:val="166"/>
        </w:trPr>
        <w:tc>
          <w:tcPr>
            <w:tcW w:w="3220" w:type="dxa"/>
            <w:vAlign w:val="bottom"/>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003366"/>
              </w:rPr>
              <w:t>Segment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and Leasing</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Capital</w:t>
            </w:r>
          </w:p>
        </w:tc>
        <w:tc>
          <w:tcPr>
            <w:tcW w:w="132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003366"/>
              </w:rPr>
              <w:t>Expansions and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6"/>
              </w:rPr>
              <w:t>Commissions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6"/>
                <w:szCs w:val="16"/>
                <w:b w:val="1"/>
                <w:bCs w:val="1"/>
                <w:color w:val="003366"/>
              </w:rPr>
              <w:t xml:space="preserve">Repositioning </w:t>
            </w:r>
            <w:r>
              <w:rPr>
                <w:rFonts w:ascii="Times New Roman" w:cs="Times New Roman" w:eastAsia="Times New Roman" w:hAnsi="Times New Roman"/>
                <w:sz w:val="20"/>
                <w:szCs w:val="20"/>
                <w:b w:val="1"/>
                <w:bCs w:val="1"/>
                <w:color w:val="003366"/>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003366"/>
              </w:rPr>
              <w:t>Development</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003366"/>
              </w:rPr>
              <w:t>Expenditures</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Portfolio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30,824</w:t>
            </w:r>
          </w:p>
        </w:tc>
        <w:tc>
          <w:tcPr>
            <w:tcW w:w="0" w:type="dxa"/>
            <w:vAlign w:val="bottom"/>
          </w:tcPr>
          <w:p>
            <w:pPr>
              <w:spacing w:after="0"/>
              <w:rPr>
                <w:sz w:val="1"/>
                <w:szCs w:val="1"/>
                <w:color w:val="auto"/>
              </w:rPr>
            </w:pPr>
          </w:p>
        </w:tc>
      </w:tr>
      <w:tr>
        <w:trPr>
          <w:trHeight w:val="21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Retail Portfolio</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0" w:type="dxa"/>
            <w:vAlign w:val="bottom"/>
          </w:tcPr>
          <w:p>
            <w:pPr>
              <w:spacing w:after="0"/>
              <w:rPr>
                <w:sz w:val="1"/>
                <w:szCs w:val="1"/>
                <w:color w:val="auto"/>
              </w:rPr>
            </w:pPr>
          </w:p>
        </w:tc>
      </w:tr>
      <w:tr>
        <w:trPr>
          <w:trHeight w:val="21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Portfolio</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Mixed-Use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11,493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18,701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3,777</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36,029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Nine Months Ended September 30, 2026</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003366"/>
                <w:w w:val="96"/>
              </w:rPr>
              <w:t>Total Tenant</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003366"/>
                <w:w w:val="98"/>
              </w:rPr>
              <w:t>Improvements,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b w:val="1"/>
                <w:bCs w:val="1"/>
                <w:color w:val="003366"/>
                <w:w w:val="97"/>
              </w:rPr>
              <w:t>Leasing</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003366"/>
              </w:rPr>
              <w:t>Redevelopment,</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003366"/>
                <w:w w:val="96"/>
              </w:rPr>
              <w:t>Improvements</w:t>
            </w:r>
          </w:p>
        </w:tc>
        <w:tc>
          <w:tcPr>
            <w:tcW w:w="120" w:type="dxa"/>
            <w:vAlign w:val="bottom"/>
          </w:tcPr>
          <w:p>
            <w:pPr>
              <w:spacing w:after="0"/>
              <w:rPr>
                <w:sz w:val="13"/>
                <w:szCs w:val="13"/>
                <w:color w:val="auto"/>
              </w:rPr>
            </w:pPr>
          </w:p>
        </w:tc>
        <w:tc>
          <w:tcPr>
            <w:tcW w:w="110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8"/>
              </w:rPr>
              <w:t>Capital</w:t>
            </w:r>
          </w:p>
        </w:tc>
        <w:tc>
          <w:tcPr>
            <w:tcW w:w="100" w:type="dxa"/>
            <w:vAlign w:val="bottom"/>
          </w:tcPr>
          <w:p>
            <w:pPr>
              <w:spacing w:after="0"/>
              <w:rPr>
                <w:sz w:val="13"/>
                <w:szCs w:val="13"/>
                <w:color w:val="auto"/>
              </w:rPr>
            </w:pPr>
          </w:p>
        </w:tc>
        <w:tc>
          <w:tcPr>
            <w:tcW w:w="13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003366"/>
              </w:rPr>
              <w:t>Commissions and</w:t>
            </w:r>
          </w:p>
        </w:tc>
        <w:tc>
          <w:tcPr>
            <w:tcW w:w="1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003366"/>
                <w:w w:val="99"/>
              </w:rPr>
              <w:t>New</w:t>
            </w:r>
          </w:p>
        </w:tc>
        <w:tc>
          <w:tcPr>
            <w:tcW w:w="140" w:type="dxa"/>
            <w:vAlign w:val="bottom"/>
          </w:tcPr>
          <w:p>
            <w:pPr>
              <w:spacing w:after="0"/>
              <w:rPr>
                <w:sz w:val="13"/>
                <w:szCs w:val="13"/>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rPr>
              <w:t>Total Capital</w:t>
            </w:r>
          </w:p>
        </w:tc>
        <w:tc>
          <w:tcPr>
            <w:tcW w:w="0" w:type="dxa"/>
            <w:vAlign w:val="bottom"/>
          </w:tcPr>
          <w:p>
            <w:pPr>
              <w:spacing w:after="0"/>
              <w:rPr>
                <w:sz w:val="1"/>
                <w:szCs w:val="1"/>
                <w:color w:val="auto"/>
              </w:rPr>
            </w:pPr>
          </w:p>
        </w:tc>
      </w:tr>
      <w:tr>
        <w:trPr>
          <w:trHeight w:val="166"/>
        </w:trPr>
        <w:tc>
          <w:tcPr>
            <w:tcW w:w="3220" w:type="dxa"/>
            <w:vAlign w:val="bottom"/>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003366"/>
              </w:rPr>
              <w:t>Segment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and Leasing</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Capital</w:t>
            </w:r>
          </w:p>
        </w:tc>
        <w:tc>
          <w:tcPr>
            <w:tcW w:w="132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003366"/>
              </w:rPr>
              <w:t>Expansions and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6"/>
              </w:rPr>
              <w:t>Commissions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003366"/>
                <w:w w:val="98"/>
              </w:rPr>
              <w:t>Expenditures</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6"/>
                <w:szCs w:val="16"/>
                <w:b w:val="1"/>
                <w:bCs w:val="1"/>
                <w:color w:val="003366"/>
              </w:rPr>
              <w:t xml:space="preserve">Repositioning </w:t>
            </w:r>
            <w:r>
              <w:rPr>
                <w:rFonts w:ascii="Times New Roman" w:cs="Times New Roman" w:eastAsia="Times New Roman" w:hAnsi="Times New Roman"/>
                <w:sz w:val="20"/>
                <w:szCs w:val="20"/>
                <w:b w:val="1"/>
                <w:bCs w:val="1"/>
                <w:color w:val="003366"/>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003366"/>
              </w:rPr>
              <w:t>Development</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003366"/>
              </w:rPr>
              <w:t>Expenditures</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Portfolio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73,262</w:t>
            </w:r>
          </w:p>
        </w:tc>
        <w:tc>
          <w:tcPr>
            <w:tcW w:w="0" w:type="dxa"/>
            <w:vAlign w:val="bottom"/>
          </w:tcPr>
          <w:p>
            <w:pPr>
              <w:spacing w:after="0"/>
              <w:rPr>
                <w:sz w:val="1"/>
                <w:szCs w:val="1"/>
                <w:color w:val="auto"/>
              </w:rPr>
            </w:pPr>
          </w:p>
        </w:tc>
      </w:tr>
      <w:tr>
        <w:trPr>
          <w:trHeight w:val="21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Retail Portfolio</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0" w:type="dxa"/>
            <w:vAlign w:val="bottom"/>
          </w:tcPr>
          <w:p>
            <w:pPr>
              <w:spacing w:after="0"/>
              <w:rPr>
                <w:sz w:val="1"/>
                <w:szCs w:val="1"/>
                <w:color w:val="auto"/>
              </w:rPr>
            </w:pPr>
          </w:p>
        </w:tc>
      </w:tr>
      <w:tr>
        <w:trPr>
          <w:trHeight w:val="21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Portfolio</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Mixed-Use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2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19,885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46,985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85,705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285" w:right="20" w:hanging="285"/>
        <w:spacing w:after="0" w:line="232" w:lineRule="auto"/>
        <w:tabs>
          <w:tab w:leader="none" w:pos="27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capital expenditures category includes spending related to repositioning initiatives at operating properties, such as building improvements intended to attract tenants and increase revenues and/or occupancy rates at properties designated for such initiatives, as well as planned capital expenditures identified at the time of acquisition, such as building improvements necessary to bring an acquired property to our operational standards, and tenant improvements and leasing commissions incurred prior to an acquired property reaching stabilization. These amounts are excluded from recurring capital expenditures for purposes of computing FAD.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184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98"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18</w:t>
      </w:r>
    </w:p>
    <w:p>
      <w:pPr>
        <w:sectPr>
          <w:pgSz w:w="11900" w:h="16838" w:orient="portrait"/>
          <w:cols w:equalWidth="0" w:num="1">
            <w:col w:w="11265"/>
          </w:cols>
          <w:pgMar w:left="315" w:top="401" w:right="319" w:bottom="1440" w:gutter="0" w:footer="0" w:header="0"/>
        </w:sectPr>
      </w:pPr>
    </w:p>
    <w:bookmarkStart w:id="30" w:name="page31"/>
    <w:bookmarkEnd w:id="3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SUMMARY OF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w:t>
            </w: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9"/>
              </w:rPr>
              <w:t>Amount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003366"/>
                <w:w w:val="97"/>
              </w:rPr>
              <w:t>Outstanding at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003366"/>
              </w:rPr>
              <w:t>Annual Debt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2"/>
        </w:trPr>
        <w:tc>
          <w:tcPr>
            <w:tcW w:w="502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003366"/>
              </w:rPr>
              <w:t>Debt</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September 30, 2026</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003366"/>
              </w:rPr>
              <w:t>Interest Rate</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1"/>
              <w:spacing w:after="0" w:line="212" w:lineRule="exact"/>
              <w:rPr>
                <w:sz w:val="20"/>
                <w:szCs w:val="20"/>
                <w:color w:val="auto"/>
              </w:rPr>
            </w:pPr>
            <w:r>
              <w:rPr>
                <w:rFonts w:ascii="Times New Roman" w:cs="Times New Roman" w:eastAsia="Times New Roman" w:hAnsi="Times New Roman"/>
                <w:sz w:val="16"/>
                <w:szCs w:val="16"/>
                <w:b w:val="1"/>
                <w:bCs w:val="1"/>
                <w:color w:val="003366"/>
              </w:rPr>
              <w:t xml:space="preserve">Service </w:t>
            </w:r>
            <w:r>
              <w:rPr>
                <w:rFonts w:ascii="Times New Roman" w:cs="Times New Roman" w:eastAsia="Times New Roman" w:hAnsi="Times New Roman"/>
                <w:sz w:val="20"/>
                <w:szCs w:val="20"/>
                <w:b w:val="1"/>
                <w:bCs w:val="1"/>
                <w:color w:val="003366"/>
                <w:vertAlign w:val="superscript"/>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003366"/>
              </w:rPr>
              <w:t>Maturity Date</w:t>
            </w:r>
          </w:p>
        </w:tc>
        <w:tc>
          <w:tcPr>
            <w:tcW w:w="240" w:type="dxa"/>
            <w:vAlign w:val="bottom"/>
            <w:tcBorders>
              <w:bottom w:val="single" w:sz="8" w:color="CCEEFF"/>
            </w:tcBorders>
          </w:tcPr>
          <w:p>
            <w:pPr>
              <w:spacing w:after="0"/>
              <w:rPr>
                <w:sz w:val="18"/>
                <w:szCs w:val="18"/>
                <w:color w:val="auto"/>
              </w:rPr>
            </w:pPr>
          </w:p>
        </w:tc>
      </w:tr>
      <w:tr>
        <w:trPr>
          <w:trHeight w:val="205"/>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City Center Bellevue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October 1, 2027</w:t>
            </w:r>
          </w:p>
        </w:tc>
      </w:tr>
      <w:tr>
        <w:trPr>
          <w:trHeight w:val="205"/>
        </w:trPr>
        <w:tc>
          <w:tcPr>
            <w:tcW w:w="51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Secured Notes Payable / Weighted Average </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75,000</w:t>
            </w:r>
          </w:p>
        </w:tc>
        <w:tc>
          <w:tcPr>
            <w:tcW w:w="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5.08 %</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3,863</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5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8"/>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Term Loan A </w:t>
            </w:r>
            <w:r>
              <w:rPr>
                <w:rFonts w:ascii="Times New Roman" w:cs="Times New Roman" w:eastAsia="Times New Roman" w:hAnsi="Times New Roman"/>
                <w:sz w:val="20"/>
                <w:szCs w:val="20"/>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April 1, 2030</w:t>
            </w:r>
          </w:p>
        </w:tc>
      </w:tr>
      <w:tr>
        <w:trPr>
          <w:trHeight w:val="213"/>
        </w:trPr>
        <w:tc>
          <w:tcPr>
            <w:tcW w:w="51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Series D Notes </w:t>
            </w:r>
            <w:r>
              <w:rPr>
                <w:rFonts w:ascii="Times New Roman" w:cs="Times New Roman" w:eastAsia="Times New Roman" w:hAnsi="Times New Roman"/>
                <w:sz w:val="20"/>
                <w:szCs w:val="20"/>
                <w:color w:val="auto"/>
                <w:vertAlign w:val="superscript"/>
              </w:rPr>
              <w:t>(4)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March 1, 2027</w:t>
            </w:r>
          </w:p>
        </w:tc>
      </w:tr>
      <w:tr>
        <w:trPr>
          <w:trHeight w:val="213"/>
        </w:trPr>
        <w:tc>
          <w:tcPr>
            <w:tcW w:w="51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Series E Notes </w:t>
            </w:r>
            <w:r>
              <w:rPr>
                <w:rFonts w:ascii="Times New Roman" w:cs="Times New Roman" w:eastAsia="Times New Roman" w:hAnsi="Times New Roman"/>
                <w:sz w:val="20"/>
                <w:szCs w:val="20"/>
                <w:color w:val="auto"/>
                <w:vertAlign w:val="superscript"/>
              </w:rPr>
              <w:t>(5)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May 23, 2029</w:t>
            </w:r>
          </w:p>
        </w:tc>
      </w:tr>
      <w:tr>
        <w:trPr>
          <w:trHeight w:val="213"/>
        </w:trPr>
        <w:tc>
          <w:tcPr>
            <w:tcW w:w="51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Series G Notes </w:t>
            </w:r>
            <w:r>
              <w:rPr>
                <w:rFonts w:ascii="Times New Roman" w:cs="Times New Roman" w:eastAsia="Times New Roman" w:hAnsi="Times New Roman"/>
                <w:sz w:val="20"/>
                <w:szCs w:val="20"/>
                <w:color w:val="auto"/>
                <w:vertAlign w:val="superscript"/>
              </w:rPr>
              <w:t>(6)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July 30, 2030</w:t>
            </w:r>
          </w:p>
        </w:tc>
      </w:tr>
      <w:tr>
        <w:trPr>
          <w:trHeight w:val="213"/>
        </w:trPr>
        <w:tc>
          <w:tcPr>
            <w:tcW w:w="51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3.375% Senior Notes </w:t>
            </w:r>
            <w:r>
              <w:rPr>
                <w:rFonts w:ascii="Times New Roman" w:cs="Times New Roman" w:eastAsia="Times New Roman" w:hAnsi="Times New Roman"/>
                <w:sz w:val="20"/>
                <w:szCs w:val="20"/>
                <w:color w:val="auto"/>
                <w:vertAlign w:val="superscript"/>
              </w:rPr>
              <w:t>(7)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16,875</w:t>
            </w:r>
          </w:p>
        </w:tc>
        <w:tc>
          <w:tcPr>
            <w:tcW w:w="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February 1, 2031</w:t>
            </w:r>
          </w:p>
        </w:tc>
      </w:tr>
      <w:tr>
        <w:trPr>
          <w:trHeight w:val="213"/>
        </w:trPr>
        <w:tc>
          <w:tcPr>
            <w:tcW w:w="51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6.150% Senior Notes </w:t>
            </w:r>
            <w:r>
              <w:rPr>
                <w:rFonts w:ascii="Times New Roman" w:cs="Times New Roman" w:eastAsia="Times New Roman" w:hAnsi="Times New Roman"/>
                <w:sz w:val="20"/>
                <w:szCs w:val="20"/>
                <w:color w:val="auto"/>
                <w:vertAlign w:val="superscript"/>
              </w:rPr>
              <w:t>(8)</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32,288</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October 1, 2034</w:t>
            </w:r>
          </w:p>
        </w:tc>
      </w:tr>
      <w:tr>
        <w:trPr>
          <w:trHeight w:val="205"/>
        </w:trPr>
        <w:tc>
          <w:tcPr>
            <w:tcW w:w="51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Unsecured Notes Payable / Weighted Average </w:t>
            </w:r>
            <w:r>
              <w:rPr>
                <w:rFonts w:ascii="Times New Roman" w:cs="Times New Roman" w:eastAsia="Times New Roman" w:hAnsi="Times New Roman"/>
                <w:sz w:val="20"/>
                <w:szCs w:val="20"/>
                <w:b w:val="1"/>
                <w:bCs w:val="1"/>
                <w:color w:val="auto"/>
                <w:vertAlign w:val="superscript"/>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1,625,000</w:t>
            </w:r>
          </w:p>
        </w:tc>
        <w:tc>
          <w:tcPr>
            <w:tcW w:w="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4.46 %</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319,864</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5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7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Unsecured Line of Credit </w:t>
            </w:r>
            <w:r>
              <w:rPr>
                <w:rFonts w:ascii="Times New Roman" w:cs="Times New Roman" w:eastAsia="Times New Roman" w:hAnsi="Times New Roman"/>
                <w:sz w:val="20"/>
                <w:szCs w:val="20"/>
                <w:b w:val="1"/>
                <w:bCs w:val="1"/>
                <w:color w:val="auto"/>
                <w:vertAlign w:val="superscript"/>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9" w:lineRule="exact"/>
        <w:rPr>
          <w:sz w:val="20"/>
          <w:szCs w:val="20"/>
          <w:color w:val="auto"/>
        </w:rPr>
      </w:pP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interest and principal payments due over the next twelve months.</w:t>
      </w:r>
    </w:p>
    <w:p>
      <w:pPr>
        <w:spacing w:after="0" w:line="27"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Secured Notes Payable total does not include debt issuance costs, net of $0.1 million.</w:t>
      </w:r>
    </w:p>
    <w:p>
      <w:pPr>
        <w:spacing w:after="0" w:line="21" w:lineRule="exact"/>
        <w:rPr>
          <w:rFonts w:ascii="Times New Roman" w:cs="Times New Roman" w:eastAsia="Times New Roman" w:hAnsi="Times New Roman"/>
          <w:sz w:val="12"/>
          <w:szCs w:val="12"/>
          <w:color w:val="auto"/>
        </w:rPr>
      </w:pPr>
    </w:p>
    <w:p>
      <w:pPr>
        <w:ind w:left="285" w:hanging="285"/>
        <w:spacing w:after="0" w:line="264" w:lineRule="auto"/>
        <w:tabs>
          <w:tab w:leader="none" w:pos="266"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Loan A accrues interest at a variable rate, which we fixed as part of an interest rate swap for an effective interest rate of 2.65% through January 5, 2027, subject to adjustments based on our consolidated leverage ratio. After January 5, 2027, interest will be accrued at a variable rate based on the applicable Secured Overnight Financing Rate ("SOFR"), plus a spread which ranges from 1.20%-1.70% based on our consolidated leverage ratio. For the purpose of the annual debt service calculation, the SOFR rate of 3.65% as of April 1, 2026 (the effective date of the Fourth Amended and Restated Credit Agreement) and spread of 1.25% is utilized.</w:t>
      </w:r>
    </w:p>
    <w:p>
      <w:pPr>
        <w:ind w:left="285" w:right="220" w:hanging="285"/>
        <w:spacing w:after="0" w:line="298" w:lineRule="auto"/>
        <w:tabs>
          <w:tab w:leader="none" w:pos="26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$250 million of 4.29% Senior Guaranteed Notes, Series D, due March 1, 2027. Net of the settlement of the forward-starting interest rate swap, the effective interest rate for the Series D Notes is approximately 3.87% per annum, through maturity.</w:t>
      </w: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million of 4.24% Senior Guaranteed Notes, Series E, due May 23, 2029. Net of the settlement of the treasury lock contract, the effective interest rate for the Series E Notes is approximately 4.18%, through maturity.</w:t>
      </w:r>
    </w:p>
    <w:p>
      <w:pPr>
        <w:spacing w:after="0" w:line="39"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$150 million of 3.91% Senior Guaranteed Notes, Series G, due July 30, 2030. Net of the settlement of the treasury lock contract, the effective interest rate for the Series G Notes is approximately 3.88% through maturity.</w:t>
      </w:r>
    </w:p>
    <w:p>
      <w:pPr>
        <w:spacing w:after="0" w:line="27"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 million of 3.375% Senior Notes due February 1, 2031. Net of the debt issuance discount, the effective interest rate for the 3.375% Notes is approximately 3.502% through maturity.</w:t>
      </w:r>
    </w:p>
    <w:p>
      <w:pPr>
        <w:spacing w:after="0" w:line="21" w:lineRule="exact"/>
        <w:rPr>
          <w:rFonts w:ascii="Times New Roman" w:cs="Times New Roman" w:eastAsia="Times New Roman" w:hAnsi="Times New Roman"/>
          <w:sz w:val="12"/>
          <w:szCs w:val="12"/>
          <w:color w:val="auto"/>
        </w:rPr>
      </w:pPr>
    </w:p>
    <w:p>
      <w:pPr>
        <w:ind w:left="285" w:right="180" w:hanging="285"/>
        <w:spacing w:after="0" w:line="272" w:lineRule="auto"/>
        <w:tabs>
          <w:tab w:leader="none" w:pos="26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$525 million of 6.150% Senior Notes due October 1, 2034. Net of the debt issuance discount and settlement of the treasury lock contracts, the effective interest rate for the 6.150% Notes is approximately 6.209% through maturity.</w:t>
      </w:r>
    </w:p>
    <w:p>
      <w:pPr>
        <w:ind w:left="265" w:hanging="265"/>
        <w:spacing w:after="0"/>
        <w:tabs>
          <w:tab w:leader="none" w:pos="265"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Unsecured Notes Payable total does not include debt issuance costs and discounts, net of $11.4 million.</w:t>
      </w:r>
    </w:p>
    <w:p>
      <w:pPr>
        <w:spacing w:after="0" w:line="21" w:lineRule="exact"/>
        <w:rPr>
          <w:rFonts w:ascii="Times New Roman" w:cs="Times New Roman" w:eastAsia="Times New Roman" w:hAnsi="Times New Roman"/>
          <w:sz w:val="12"/>
          <w:szCs w:val="12"/>
          <w:color w:val="auto"/>
        </w:rPr>
      </w:pPr>
    </w:p>
    <w:p>
      <w:pPr>
        <w:ind w:left="285" w:right="240" w:hanging="285"/>
        <w:spacing w:after="0" w:line="270" w:lineRule="auto"/>
        <w:tabs>
          <w:tab w:leader="none" w:pos="329"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1, 2026, the Unsecured Line of Credit (the "Revolver Loan") capacity was increased to $500 million, with a maturity date of April 1, 2030, subject to two, six-month extension options. The Revolver Loan currently accrues interest at SOFR, plus the applicable SOFR adjustment and a spread which ranges from 1.05%-1.50%, based on our consolidated leverage ratio. The Revolver Loan total does not include debt issuance costs, net of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184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41"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19</w:t>
      </w:r>
    </w:p>
    <w:p>
      <w:pPr>
        <w:sectPr>
          <w:pgSz w:w="11900" w:h="16838" w:orient="portrait"/>
          <w:cols w:equalWidth="0" w:num="1">
            <w:col w:w="11245"/>
          </w:cols>
          <w:pgMar w:left="315" w:top="401" w:right="339" w:bottom="1440" w:gutter="0" w:footer="0" w:header="0"/>
        </w:sectPr>
      </w:pPr>
    </w:p>
    <w:bookmarkStart w:id="31" w:name="page32"/>
    <w:bookmarkEnd w:id="31"/>
    <w:p>
      <w:pPr>
        <w:ind w:left="25"/>
        <w:spacing w:after="0"/>
        <w:rPr>
          <w:sz w:val="20"/>
          <w:szCs w:val="20"/>
          <w:color w:val="auto"/>
        </w:rPr>
      </w:pPr>
      <w:r>
        <w:rPr>
          <w:rFonts w:ascii="Times New Roman" w:cs="Times New Roman" w:eastAsia="Times New Roman" w:hAnsi="Times New Roman"/>
          <w:sz w:val="24"/>
          <w:szCs w:val="24"/>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5"/>
          </w:cols>
          <w:pgMar w:left="315" w:top="401"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4140" w:type="dxa"/>
            <w:vAlign w:val="bottom"/>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(Unaudited, amounts in thousands, except per share data)</w:t>
            </w:r>
          </w:p>
        </w:tc>
        <w:tc>
          <w:tcPr>
            <w:tcW w:w="1180" w:type="dxa"/>
            <w:vAlign w:val="bottom"/>
          </w:tcPr>
          <w:p>
            <w:pPr>
              <w:spacing w:after="0"/>
              <w:rPr>
                <w:sz w:val="18"/>
                <w:szCs w:val="18"/>
                <w:color w:val="auto"/>
              </w:rPr>
            </w:pPr>
          </w:p>
        </w:tc>
      </w:tr>
      <w:tr>
        <w:trPr>
          <w:trHeight w:val="212"/>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Market data</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16"/>
                <w:szCs w:val="16"/>
                <w:b w:val="1"/>
                <w:bCs w:val="1"/>
                <w:color w:val="003366"/>
              </w:rPr>
              <w:t>September 30, 2026</w:t>
            </w:r>
          </w:p>
        </w:tc>
      </w:tr>
      <w:tr>
        <w:trPr>
          <w:trHeight w:val="205"/>
        </w:trPr>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61,403</w:t>
            </w:r>
          </w:p>
        </w:tc>
      </w:tr>
      <w:tr>
        <w:trPr>
          <w:trHeight w:val="213"/>
        </w:trPr>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Common units outstanding</w:t>
            </w: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16,182</w:t>
            </w:r>
          </w:p>
        </w:tc>
      </w:tr>
      <w:tr>
        <w:trPr>
          <w:trHeight w:val="146"/>
        </w:trPr>
        <w:tc>
          <w:tcPr>
            <w:tcW w:w="308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6"/>
                <w:szCs w:val="16"/>
                <w:color w:val="auto"/>
              </w:rPr>
              <w:t>Common shares and common units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13"/>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77,585</w:t>
            </w:r>
          </w:p>
        </w:tc>
      </w:tr>
      <w:tr>
        <w:trPr>
          <w:trHeight w:val="213"/>
        </w:trPr>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Market price per common share</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21.26</w:t>
            </w:r>
          </w:p>
        </w:tc>
      </w:tr>
      <w:tr>
        <w:trPr>
          <w:trHeight w:val="205"/>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market capitalization</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1,649,457</w:t>
            </w:r>
          </w:p>
        </w:tc>
      </w:tr>
      <w:tr>
        <w:trPr>
          <w:trHeight w:val="213"/>
        </w:trPr>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1,700,000</w:t>
            </w:r>
          </w:p>
        </w:tc>
      </w:tr>
      <w:tr>
        <w:trPr>
          <w:trHeight w:val="205"/>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market capitalization</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3,349,457</w:t>
            </w:r>
          </w:p>
        </w:tc>
      </w:tr>
      <w:tr>
        <w:trPr>
          <w:trHeight w:val="213"/>
        </w:trPr>
        <w:tc>
          <w:tcPr>
            <w:tcW w:w="3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Cash on hand</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(89,613)</w:t>
            </w:r>
          </w:p>
        </w:tc>
      </w:tr>
      <w:tr>
        <w:trPr>
          <w:trHeight w:val="206"/>
        </w:trPr>
        <w:tc>
          <w:tcPr>
            <w:tcW w:w="3080" w:type="dxa"/>
            <w:vAlign w:val="bottom"/>
            <w:tcBorders>
              <w:bottom w:val="single" w:sz="8" w:color="CCEEFF"/>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enterprise value</w:t>
            </w:r>
          </w:p>
        </w:tc>
        <w:tc>
          <w:tcPr>
            <w:tcW w:w="980" w:type="dxa"/>
            <w:vAlign w:val="bottom"/>
            <w:tcBorders>
              <w:bottom w:val="single" w:sz="8" w:color="auto"/>
            </w:tcBorders>
            <w:shd w:val="clear" w:color="auto" w:fill="CCEEFF"/>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3,259,844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308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unencumbered assets, gross</w:t>
            </w:r>
          </w:p>
        </w:tc>
        <w:tc>
          <w:tcPr>
            <w:tcW w:w="980" w:type="dxa"/>
            <w:vAlign w:val="bottom"/>
            <w:tcBorders>
              <w:bottom w:val="single" w:sz="8" w:color="CCEEFF"/>
            </w:tcBorders>
          </w:tcPr>
          <w:p>
            <w:pPr>
              <w:jc w:val="right"/>
              <w:ind w:right="8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3,790,930</w:t>
            </w:r>
          </w:p>
        </w:tc>
      </w:tr>
      <w:tr>
        <w:trPr>
          <w:trHeight w:val="213"/>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debt/Total capitalization</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r>
      <w:tr>
        <w:trPr>
          <w:trHeight w:val="213"/>
        </w:trPr>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debt/Total enterprise value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52.1 %</w:t>
            </w:r>
          </w:p>
        </w:tc>
      </w:tr>
      <w:tr>
        <w:trPr>
          <w:trHeight w:val="213"/>
        </w:trPr>
        <w:tc>
          <w:tcPr>
            <w:tcW w:w="308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Net debt/Total enterprise value </w:t>
            </w:r>
            <w:r>
              <w:rPr>
                <w:rFonts w:ascii="Times New Roman" w:cs="Times New Roman" w:eastAsia="Times New Roman" w:hAnsi="Times New Roman"/>
                <w:sz w:val="20"/>
                <w:szCs w:val="20"/>
                <w:color w:val="auto"/>
                <w:vertAlign w:val="superscript"/>
              </w:rPr>
              <w:t>(1)</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49.4 %</w:t>
            </w:r>
          </w:p>
        </w:tc>
      </w:tr>
      <w:tr>
        <w:trPr>
          <w:trHeight w:val="166"/>
        </w:trPr>
        <w:tc>
          <w:tcPr>
            <w:tcW w:w="308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Total unencumbered assets, gross/Unsecured</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3"/>
        </w:trPr>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r>
      <w:tr>
        <w:trPr>
          <w:trHeight w:val="166"/>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40"/>
              <w:spacing w:after="0" w:line="165" w:lineRule="exact"/>
              <w:rPr>
                <w:sz w:val="20"/>
                <w:szCs w:val="20"/>
                <w:color w:val="auto"/>
              </w:rPr>
            </w:pPr>
            <w:r>
              <w:rPr>
                <w:rFonts w:ascii="Times New Roman" w:cs="Times New Roman" w:eastAsia="Times New Roman" w:hAnsi="Times New Roman"/>
                <w:sz w:val="16"/>
                <w:szCs w:val="16"/>
                <w:color w:val="auto"/>
              </w:rPr>
              <w:t>Quarter</w:t>
            </w:r>
          </w:p>
        </w:tc>
        <w:tc>
          <w:tcPr>
            <w:tcW w:w="1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Trailing 12</w:t>
            </w:r>
          </w:p>
        </w:tc>
      </w:tr>
      <w:tr>
        <w:trPr>
          <w:trHeight w:val="210"/>
        </w:trPr>
        <w:tc>
          <w:tcPr>
            <w:tcW w:w="2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Annualized</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Months</w:t>
            </w:r>
          </w:p>
        </w:tc>
      </w:tr>
      <w:tr>
        <w:trPr>
          <w:trHeight w:val="208"/>
        </w:trPr>
        <w:tc>
          <w:tcPr>
            <w:tcW w:w="3080" w:type="dxa"/>
            <w:vAlign w:val="bottom"/>
            <w:gridSpan w:val="2"/>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Total debt/Adjusted EBITDA </w:t>
            </w:r>
            <w:r>
              <w:rPr>
                <w:rFonts w:ascii="Times New Roman" w:cs="Times New Roman" w:eastAsia="Times New Roman" w:hAnsi="Times New Roman"/>
                <w:sz w:val="20"/>
                <w:szCs w:val="20"/>
                <w:color w:val="auto"/>
                <w:vertAlign w:val="superscript"/>
              </w:rPr>
              <w:t>(2)(3)</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6.8 x</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 x</w:t>
            </w:r>
          </w:p>
        </w:tc>
      </w:tr>
      <w:tr>
        <w:trPr>
          <w:trHeight w:val="213"/>
        </w:trPr>
        <w:tc>
          <w:tcPr>
            <w:tcW w:w="308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Net debt/Adjusted EBITDA </w:t>
            </w:r>
            <w:r>
              <w:rPr>
                <w:rFonts w:ascii="Times New Roman" w:cs="Times New Roman" w:eastAsia="Times New Roman" w:hAnsi="Times New Roman"/>
                <w:sz w:val="20"/>
                <w:szCs w:val="20"/>
                <w:color w:val="auto"/>
                <w:vertAlign w:val="superscript"/>
              </w:rPr>
              <w:t>(1)(2)(3)</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6.4 x</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 x</w:t>
            </w:r>
          </w:p>
        </w:tc>
      </w:tr>
      <w:tr>
        <w:trPr>
          <w:trHeight w:val="213"/>
        </w:trPr>
        <w:tc>
          <w:tcPr>
            <w:tcW w:w="3080" w:type="dxa"/>
            <w:vAlign w:val="bottom"/>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Interest coverage ratio </w:t>
            </w:r>
            <w:r>
              <w:rPr>
                <w:rFonts w:ascii="Times New Roman" w:cs="Times New Roman" w:eastAsia="Times New Roman" w:hAnsi="Times New Roman"/>
                <w:sz w:val="20"/>
                <w:szCs w:val="20"/>
                <w:color w:val="auto"/>
                <w:vertAlign w:val="superscript"/>
              </w:rPr>
              <w:t>(4)</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3.3 x</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 x</w:t>
            </w:r>
          </w:p>
        </w:tc>
      </w:tr>
      <w:tr>
        <w:trPr>
          <w:trHeight w:val="213"/>
        </w:trPr>
        <w:tc>
          <w:tcPr>
            <w:tcW w:w="308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Fixed charge coverage ratio </w:t>
            </w:r>
            <w:r>
              <w:rPr>
                <w:rFonts w:ascii="Times New Roman" w:cs="Times New Roman" w:eastAsia="Times New Roman" w:hAnsi="Times New Roman"/>
                <w:sz w:val="20"/>
                <w:szCs w:val="20"/>
                <w:color w:val="auto"/>
                <w:vertAlign w:val="superscript"/>
              </w:rPr>
              <w:t>(4)</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3.3 x</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 x</w:t>
            </w:r>
          </w:p>
        </w:tc>
      </w:tr>
      <w:tr>
        <w:trPr>
          <w:trHeight w:val="166"/>
        </w:trPr>
        <w:tc>
          <w:tcPr>
            <w:tcW w:w="30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Debt Covenants (3.375% Senior Notes &amp;</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September 30,</w:t>
            </w:r>
          </w:p>
        </w:tc>
      </w:tr>
      <w:tr>
        <w:trPr>
          <w:trHeight w:val="213"/>
        </w:trPr>
        <w:tc>
          <w:tcPr>
            <w:tcW w:w="3080" w:type="dxa"/>
            <w:vAlign w:val="bottom"/>
            <w:tcBorders>
              <w:bottom w:val="single" w:sz="8" w:color="auto"/>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6.150% Senior Notes) </w:t>
            </w:r>
            <w:r>
              <w:rPr>
                <w:rFonts w:ascii="Times New Roman" w:cs="Times New Roman" w:eastAsia="Times New Roman" w:hAnsi="Times New Roman"/>
                <w:sz w:val="20"/>
                <w:szCs w:val="20"/>
                <w:b w:val="1"/>
                <w:bCs w:val="1"/>
                <w:color w:val="auto"/>
                <w:vertAlign w:val="superscript"/>
              </w:rPr>
              <w:t>(5)</w:t>
            </w:r>
          </w:p>
        </w:tc>
        <w:tc>
          <w:tcPr>
            <w:tcW w:w="10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Covenant</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r>
      <w:tr>
        <w:trPr>
          <w:trHeight w:val="205"/>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Debt Test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&lt; 60%</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43.5%</w:t>
            </w:r>
          </w:p>
        </w:tc>
      </w:tr>
      <w:tr>
        <w:trPr>
          <w:trHeight w:val="213"/>
        </w:trPr>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Service Test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&gt; 1.5x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213"/>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Secured Debt Test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&lt; 40%</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1.9%</w:t>
            </w:r>
          </w:p>
        </w:tc>
      </w:tr>
      <w:tr>
        <w:trPr>
          <w:trHeight w:val="213"/>
        </w:trPr>
        <w:tc>
          <w:tcPr>
            <w:tcW w:w="3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of Total Unencumbered Assets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&gt; 150%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3424555" cy="2531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4555" cy="2531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75704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Rating Agency</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w:t>
            </w:r>
          </w:p>
        </w:tc>
      </w:tr>
      <w:tr>
        <w:trPr>
          <w:trHeight w:val="205"/>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Fitch</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BBB</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Moody's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Baa3</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Standard &amp; Poors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BBB-</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bl>
    <w:p>
      <w:pPr>
        <w:spacing w:after="0" w:line="5450" w:lineRule="exact"/>
        <w:rPr>
          <w:sz w:val="20"/>
          <w:szCs w:val="20"/>
          <w:color w:val="auto"/>
        </w:rPr>
      </w:pPr>
    </w:p>
    <w:p>
      <w:pPr>
        <w:sectPr>
          <w:pgSz w:w="11900" w:h="16838" w:orient="portrait"/>
          <w:cols w:equalWidth="0" w:num="2">
            <w:col w:w="5325" w:space="500"/>
            <w:col w:w="5400"/>
          </w:cols>
          <w:pgMar w:left="315" w:top="4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5" w:type="dxa"/>
        <w:tblCellMar>
          <w:top w:w="0" w:type="dxa"/>
          <w:left w:w="0" w:type="dxa"/>
          <w:bottom w:w="0" w:type="dxa"/>
          <w:right w:w="0" w:type="dxa"/>
        </w:tblCellMar>
      </w:tblPr>
      <w:tr>
        <w:trPr>
          <w:trHeight w:val="164"/>
        </w:trPr>
        <w:tc>
          <w:tcPr>
            <w:tcW w:w="8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Weighted</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2027</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2029</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2030</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2031</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2032</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2033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96"/>
        </w:trPr>
        <w:tc>
          <w:tcPr>
            <w:tcW w:w="860" w:type="dxa"/>
            <w:vAlign w:val="bottom"/>
          </w:tcPr>
          <w:p>
            <w:pPr>
              <w:spacing w:after="0" w:line="96" w:lineRule="exact"/>
              <w:rPr>
                <w:sz w:val="20"/>
                <w:szCs w:val="20"/>
                <w:color w:val="auto"/>
              </w:rPr>
            </w:pPr>
            <w:r>
              <w:rPr>
                <w:rFonts w:ascii="Times New Roman" w:cs="Times New Roman" w:eastAsia="Times New Roman" w:hAnsi="Times New Roman"/>
                <w:sz w:val="11"/>
                <w:szCs w:val="11"/>
                <w:i w:val="1"/>
                <w:iCs w:val="1"/>
                <w:color w:val="auto"/>
              </w:rPr>
              <w:t>Average Fixed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4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3.4%</w:t>
            </w: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Interest Rate</w:t>
            </w:r>
          </w:p>
        </w:tc>
        <w:tc>
          <w:tcPr>
            <w:tcW w:w="5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4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Total Weighted Average Fixed Interest Rate:</w:t>
            </w:r>
          </w:p>
        </w:tc>
        <w:tc>
          <w:tcPr>
            <w:tcW w:w="400" w:type="dxa"/>
            <w:vAlign w:val="bottom"/>
          </w:tcPr>
          <w:p>
            <w:pPr>
              <w:spacing w:after="0"/>
              <w:rPr>
                <w:sz w:val="24"/>
                <w:szCs w:val="24"/>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4.5%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w w:val="96"/>
              </w:rPr>
              <w:t>Weighted Average Term to Maturity (in years):</w:t>
            </w:r>
          </w:p>
        </w:tc>
        <w:tc>
          <w:tcPr>
            <w:tcW w:w="400" w:type="dxa"/>
            <w:vAlign w:val="bottom"/>
          </w:tcPr>
          <w:p>
            <w:pPr>
              <w:spacing w:after="0"/>
              <w:rPr>
                <w:sz w:val="16"/>
                <w:szCs w:val="16"/>
                <w:color w:val="auto"/>
              </w:rPr>
            </w:pPr>
          </w:p>
        </w:tc>
        <w:tc>
          <w:tcPr>
            <w:tcW w:w="5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4.6</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265" w:hanging="265"/>
        <w:spacing w:after="0"/>
        <w:tabs>
          <w:tab w:leader="none" w:pos="26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debt is equal to total debt less cash on hand.</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 for discussion of EBITDA and Adjusted EBITDA.</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 Adjusted EBITDA represents the actual for the three months ended September 30, 2026, annualized.</w:t>
      </w:r>
    </w:p>
    <w:p>
      <w:pPr>
        <w:spacing w:after="0" w:line="4"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Adjusted EBITDA divided by interest on borrowed funds, including capitalized interest and excluding debt fair value adjustments and loan fee amortization.</w:t>
      </w:r>
    </w:p>
    <w:p>
      <w:pPr>
        <w:ind w:left="265" w:hanging="265"/>
        <w:spacing w:after="0"/>
        <w:tabs>
          <w:tab w:leader="none" w:pos="26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debt covenant headings set forth in this table are utilized, and the covenants themselves are detailed, in the documents governing the 3.375% Senior Notes and the 6.150%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14184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20</w:t>
      </w:r>
    </w:p>
    <w:p>
      <w:pPr>
        <w:ind w:left="5"/>
        <w:spacing w:after="0"/>
        <w:rPr>
          <w:sz w:val="20"/>
          <w:szCs w:val="20"/>
          <w:color w:val="auto"/>
        </w:rPr>
      </w:pPr>
      <w:r>
        <w:rPr>
          <w:rFonts w:ascii="Times New Roman" w:cs="Times New Roman" w:eastAsia="Times New Roman" w:hAnsi="Times New Roman"/>
          <w:sz w:val="12"/>
          <w:szCs w:val="12"/>
          <w:color w:val="auto"/>
        </w:rPr>
        <w:t>Adjusted EBITDA is a non-GAAP supplemental earnings measure which we consider meaningful in measuring our operating performance. Reconciliations of Adjusted EBITDA to net income are in the Glossary of Terms.</w:t>
      </w:r>
    </w:p>
    <w:p>
      <w:pPr>
        <w:sectPr>
          <w:pgSz w:w="11900" w:h="16838" w:orient="portrait"/>
          <w:cols w:equalWidth="0" w:num="1">
            <w:col w:w="11225"/>
          </w:cols>
          <w:pgMar w:left="315" w:top="401" w:right="359"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SUMMARY OF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0" w:right="60"/>
        <w:spacing w:after="0" w:line="232" w:lineRule="auto"/>
        <w:rPr>
          <w:sz w:val="20"/>
          <w:szCs w:val="20"/>
          <w:color w:val="auto"/>
        </w:rPr>
      </w:pPr>
      <w:r>
        <w:rPr>
          <w:rFonts w:ascii="Times New Roman" w:cs="Times New Roman" w:eastAsia="Times New Roman" w:hAnsi="Times New Roman"/>
          <w:sz w:val="14"/>
          <w:szCs w:val="14"/>
          <w:color w:val="auto"/>
        </w:rPr>
        <w:t>Our portfolio has numerous potential opportunities to create future shareholder value. These opportunities could be subject to government approvals, lender consents, tenant consents, market conditions, availability of debt and/or equity financing, etc. Many of these opportunities are in their preliminary stages and may not ultimately come to fruition. This schedule will update as we modify various assumptions and markets conditions change. Square footages and units set forth below are estimates only and ultimately may differ materially from actual square footages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26605" cy="1374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6605" cy="1374140"/>
                    </a:xfrm>
                    <a:prstGeom prst="rect">
                      <a:avLst/>
                    </a:prstGeom>
                    <a:noFill/>
                  </pic:spPr>
                </pic:pic>
              </a:graphicData>
            </a:graphic>
          </wp:anchor>
        </w:drawing>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Development/Redevelopment Pipeline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003366"/>
              </w:rPr>
              <w:t>Property</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003366"/>
              </w:rPr>
              <w:t>Property</w:t>
            </w: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003366"/>
              </w:rPr>
              <w:t>Location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3366"/>
              </w:rPr>
              <w:t>Estimated Rentable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3366"/>
              </w:rPr>
              <w:t>Multifamily</w:t>
            </w:r>
          </w:p>
        </w:tc>
        <w:tc>
          <w:tcPr>
            <w:tcW w:w="42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003366"/>
              </w:rPr>
              <w:t>Opportunity</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003366"/>
                <w:w w:val="98"/>
              </w:rPr>
              <w:t>Type</w:t>
            </w:r>
          </w:p>
        </w:tc>
        <w:tc>
          <w:tcPr>
            <w:tcW w:w="1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3366"/>
              </w:rPr>
              <w:t>Square Feet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3366"/>
              </w:rPr>
              <w:t>Units</w:t>
            </w:r>
          </w:p>
        </w:tc>
        <w:tc>
          <w:tcPr>
            <w:tcW w:w="4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2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Waikele Center</w:t>
            </w:r>
          </w:p>
        </w:tc>
        <w:tc>
          <w:tcPr>
            <w:tcW w:w="110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Honolulu, HI</w:t>
            </w: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120,000</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N/A</w:t>
            </w:r>
          </w:p>
        </w:tc>
        <w:tc>
          <w:tcPr>
            <w:tcW w:w="422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Development of 120,000 square foot retail building (former KMart</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space)</w:t>
            </w:r>
          </w:p>
        </w:tc>
        <w:tc>
          <w:tcPr>
            <w:tcW w:w="0" w:type="dxa"/>
            <w:vAlign w:val="bottom"/>
          </w:tcPr>
          <w:p>
            <w:pPr>
              <w:spacing w:after="0"/>
              <w:rPr>
                <w:sz w:val="1"/>
                <w:szCs w:val="1"/>
                <w:color w:val="auto"/>
              </w:rPr>
            </w:pPr>
          </w:p>
        </w:tc>
      </w:tr>
      <w:tr>
        <w:trPr>
          <w:trHeight w:val="20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Lomas Santa Fe Plaza</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CA</w:t>
            </w:r>
          </w:p>
        </w:tc>
        <w:tc>
          <w:tcPr>
            <w:tcW w:w="1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20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Genesee Park</w:t>
            </w:r>
          </w:p>
        </w:tc>
        <w:tc>
          <w:tcPr>
            <w:tcW w:w="11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Multifamily</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 Diego, CA</w:t>
            </w:r>
          </w:p>
        </w:tc>
        <w:tc>
          <w:tcPr>
            <w:tcW w:w="1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20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Towne Centre</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Solana Beach, CA</w:t>
            </w:r>
          </w:p>
        </w:tc>
        <w:tc>
          <w:tcPr>
            <w:tcW w:w="1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20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Carmel Mountain Plaza</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Retail</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 Diego, CA</w:t>
            </w:r>
          </w:p>
        </w:tc>
        <w:tc>
          <w:tcPr>
            <w:tcW w:w="1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multifamily units</w:t>
            </w:r>
          </w:p>
        </w:tc>
        <w:tc>
          <w:tcPr>
            <w:tcW w:w="0" w:type="dxa"/>
            <w:vAlign w:val="bottom"/>
          </w:tcPr>
          <w:p>
            <w:pPr>
              <w:spacing w:after="0"/>
              <w:rPr>
                <w:sz w:val="1"/>
                <w:szCs w:val="1"/>
                <w:color w:val="auto"/>
              </w:rPr>
            </w:pPr>
          </w:p>
        </w:tc>
      </w:tr>
      <w:tr>
        <w:trPr>
          <w:trHeight w:val="218"/>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Lloyd Portfolio - multiple phases </w:t>
            </w:r>
            <w:r>
              <w:rPr>
                <w:rFonts w:ascii="Times New Roman" w:cs="Times New Roman" w:eastAsia="Times New Roman" w:hAnsi="Times New Roman"/>
                <w:sz w:val="18"/>
                <w:szCs w:val="18"/>
                <w:color w:val="auto"/>
                <w:vertAlign w:val="superscript"/>
              </w:rPr>
              <w:t>(1)</w:t>
            </w:r>
          </w:p>
        </w:tc>
        <w:tc>
          <w:tcPr>
            <w:tcW w:w="110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Mixed Use</w:t>
            </w: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Portland, OR</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Phase 2B - Oregon Square</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high density, transit oriented, mixed-use urban village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300" w:right="100" w:hanging="285"/>
        <w:spacing w:after="0" w:line="249" w:lineRule="auto"/>
        <w:tabs>
          <w:tab w:leader="none" w:pos="28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Lloyd Portfolio was acquired in 2011, consisting of approximately 600,000 rentable square feet on more than 16 acres located in the Lloyd District of Portland, Oregon. The portion of the property that has been designated for additional development is expected to include a high density, transit oriented, mixed-use urban village, with the potential to be in excess of approximately three million square feet. The zoning for such development opportunity allows a 12:1 Floor Area Ratio with a 250 foot height limit and provides for retail, office and/or multifamily development. Additional development plans are in the early stages and will continue to progress as demand and economic conditions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122555</wp:posOffset>
            </wp:positionV>
            <wp:extent cx="714184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192" w:lineRule="exact"/>
        <w:rPr>
          <w:sz w:val="20"/>
          <w:szCs w:val="20"/>
          <w:color w:val="auto"/>
        </w:rPr>
      </w:pPr>
    </w:p>
    <w:p>
      <w:pPr>
        <w:ind w:left="40"/>
        <w:spacing w:after="0"/>
        <w:tabs>
          <w:tab w:leader="none" w:pos="1072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21</w:t>
      </w:r>
    </w:p>
    <w:p>
      <w:pPr>
        <w:sectPr>
          <w:pgSz w:w="11900" w:h="16838" w:orient="portrait"/>
          <w:cols w:equalWidth="0" w:num="1">
            <w:col w:w="11240"/>
          </w:cols>
          <w:pgMar w:left="300" w:top="40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307975"/>
                    </a:xfrm>
                    <a:prstGeom prst="rect">
                      <a:avLst/>
                    </a:prstGeom>
                    <a:noFill/>
                  </pic:spPr>
                </pic:pic>
              </a:graphicData>
            </a:graphic>
          </wp:anchor>
        </w:drawing>
        <w:t>PROPERTY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714184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8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PORTFOLIO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693420</wp:posOffset>
            </wp:positionV>
            <wp:extent cx="714184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22</w:t>
      </w:r>
    </w:p>
    <w:p>
      <w:pPr>
        <w:sectPr>
          <w:pgSz w:w="11900" w:h="16838" w:orient="portrait"/>
          <w:cols w:equalWidth="0" w:num="1">
            <w:col w:w="11200"/>
          </w:cols>
          <w:pgMar w:left="340" w:top="401" w:right="35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845" cy="307975"/>
                    </a:xfrm>
                    <a:prstGeom prst="rect">
                      <a:avLst/>
                    </a:prstGeom>
                    <a:noFill/>
                  </pic:spPr>
                </pic:pic>
              </a:graphicData>
            </a:graphic>
          </wp:anchor>
        </w:drawing>
        <w:t>PROPERTY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184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003366"/>
                <w:w w:val="97"/>
              </w:rPr>
              <w:t>As of September 30, 2026</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198"/>
              <w:spacing w:after="0"/>
              <w:rPr>
                <w:sz w:val="20"/>
                <w:szCs w:val="20"/>
                <w:color w:val="auto"/>
              </w:rPr>
            </w:pPr>
            <w:r>
              <w:rPr>
                <w:rFonts w:ascii="Times New Roman" w:cs="Times New Roman" w:eastAsia="Times New Roman" w:hAnsi="Times New Roman"/>
                <w:sz w:val="13"/>
                <w:szCs w:val="13"/>
                <w:b w:val="1"/>
                <w:bCs w:val="1"/>
                <w:color w:val="003366"/>
              </w:rPr>
              <w:t>Office and Retail Portfolios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42"/>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Net</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Year Built/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Rentable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003366"/>
              </w:rPr>
              <w:t>Base Rent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Most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Square</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10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003366"/>
              </w:rPr>
              <w:t>per Occupied</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003366"/>
              </w:rPr>
              <w:t>Retail</w:t>
            </w: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8"/>
              </w:rPr>
              <w:t>Recent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1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003366"/>
              </w:rPr>
              <w:t>Property</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rPr>
              <w:t>Renovation</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88"/>
              </w:rPr>
              <w:t xml:space="preserve">Feet </w:t>
            </w:r>
            <w:r>
              <w:rPr>
                <w:rFonts w:ascii="Times New Roman" w:cs="Times New Roman" w:eastAsia="Times New Roman" w:hAnsi="Times New Roman"/>
                <w:sz w:val="14"/>
                <w:szCs w:val="14"/>
                <w:b w:val="1"/>
                <w:bCs w:val="1"/>
                <w:color w:val="003366"/>
                <w:w w:val="88"/>
                <w:vertAlign w:val="superscript"/>
              </w:rPr>
              <w:t>(1)</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94"/>
              </w:rPr>
              <w:t xml:space="preserve">Leased </w:t>
            </w:r>
            <w:r>
              <w:rPr>
                <w:rFonts w:ascii="Times New Roman" w:cs="Times New Roman" w:eastAsia="Times New Roman" w:hAnsi="Times New Roman"/>
                <w:sz w:val="14"/>
                <w:szCs w:val="14"/>
                <w:b w:val="1"/>
                <w:bCs w:val="1"/>
                <w:color w:val="003366"/>
                <w:w w:val="94"/>
                <w:vertAlign w:val="superscript"/>
              </w:rPr>
              <w:t>(2)</w:t>
            </w: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98"/>
              </w:rPr>
              <w:t>Occupied</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003366"/>
                <w:w w:val="95"/>
              </w:rPr>
              <w:t xml:space="preserve">Base Rent </w:t>
            </w:r>
            <w:r>
              <w:rPr>
                <w:rFonts w:ascii="Times New Roman" w:cs="Times New Roman" w:eastAsia="Times New Roman" w:hAnsi="Times New Roman"/>
                <w:sz w:val="14"/>
                <w:szCs w:val="14"/>
                <w:b w:val="1"/>
                <w:bCs w:val="1"/>
                <w:color w:val="003366"/>
                <w:w w:val="95"/>
                <w:vertAlign w:val="superscript"/>
              </w:rPr>
              <w:t>(3)</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003366"/>
                <w:w w:val="95"/>
              </w:rPr>
              <w:t xml:space="preserve">Square Foot </w:t>
            </w:r>
            <w:r>
              <w:rPr>
                <w:rFonts w:ascii="Times New Roman" w:cs="Times New Roman" w:eastAsia="Times New Roman" w:hAnsi="Times New Roman"/>
                <w:sz w:val="14"/>
                <w:szCs w:val="14"/>
                <w:b w:val="1"/>
                <w:bCs w:val="1"/>
                <w:color w:val="003366"/>
                <w:w w:val="95"/>
                <w:vertAlign w:val="superscript"/>
              </w:rPr>
              <w:t>(4)</w:t>
            </w: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003366"/>
                <w:w w:val="98"/>
              </w:rPr>
              <w:t xml:space="preserve">Anchor Tenant(s) </w:t>
            </w:r>
            <w:r>
              <w:rPr>
                <w:rFonts w:ascii="Times New Roman" w:cs="Times New Roman" w:eastAsia="Times New Roman" w:hAnsi="Times New Roman"/>
                <w:sz w:val="14"/>
                <w:szCs w:val="14"/>
                <w:b w:val="1"/>
                <w:bCs w:val="1"/>
                <w:color w:val="003366"/>
                <w:w w:val="98"/>
                <w:vertAlign w:val="superscript"/>
              </w:rPr>
              <w:t>(5)</w:t>
            </w:r>
          </w:p>
        </w:tc>
        <w:tc>
          <w:tcPr>
            <w:tcW w:w="80" w:type="dxa"/>
            <w:vAlign w:val="bottom"/>
            <w:tcBorders>
              <w:bottom w:val="single" w:sz="8" w:color="CCEEFF"/>
            </w:tcBorders>
          </w:tcPr>
          <w:p>
            <w:pPr>
              <w:spacing w:after="0"/>
              <w:rPr>
                <w:sz w:val="14"/>
                <w:szCs w:val="14"/>
                <w:color w:val="auto"/>
              </w:rPr>
            </w:pPr>
          </w:p>
        </w:tc>
        <w:tc>
          <w:tcPr>
            <w:tcW w:w="27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1"/>
                <w:szCs w:val="11"/>
                <w:b w:val="1"/>
                <w:bCs w:val="1"/>
                <w:color w:val="003366"/>
              </w:rPr>
              <w:t xml:space="preserve">Other Principal Retail Tenants </w:t>
            </w:r>
            <w:r>
              <w:rPr>
                <w:rFonts w:ascii="Times New Roman" w:cs="Times New Roman" w:eastAsia="Times New Roman" w:hAnsi="Times New Roman"/>
                <w:sz w:val="14"/>
                <w:szCs w:val="14"/>
                <w:b w:val="1"/>
                <w:bCs w:val="1"/>
                <w:color w:val="003366"/>
                <w:vertAlign w:val="superscript"/>
              </w:rPr>
              <w:t>(6)</w:t>
            </w:r>
          </w:p>
        </w:tc>
      </w:tr>
      <w:tr>
        <w:trPr>
          <w:trHeight w:val="16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Office Properties</w:t>
            </w: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 Jolla Commons I &amp; II</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725,439</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97.2%</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97.2%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49,387,853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70.04</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Jolla Commons III</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206,231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50.7</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34.4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3,859,692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32"/>
        </w:trPr>
        <w:tc>
          <w:tcPr>
            <w:tcW w:w="172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Coastal Collection at Torrey</w:t>
            </w:r>
          </w:p>
        </w:tc>
        <w:tc>
          <w:tcPr>
            <w:tcW w:w="10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1996/2022</w:t>
            </w:r>
          </w:p>
        </w:tc>
        <w:tc>
          <w:tcPr>
            <w:tcW w:w="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552,276</w:t>
            </w:r>
          </w:p>
        </w:tc>
        <w:tc>
          <w:tcPr>
            <w:tcW w:w="8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87.5</w:t>
            </w:r>
          </w:p>
        </w:tc>
        <w:tc>
          <w:tcPr>
            <w:tcW w:w="6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78.2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26,065,204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60.35</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3"/>
                <w:szCs w:val="13"/>
                <w:color w:val="auto"/>
              </w:rPr>
              <w:t xml:space="preserve">Reserve </w:t>
            </w:r>
            <w:r>
              <w:rPr>
                <w:rFonts w:ascii="Times New Roman" w:cs="Times New Roman" w:eastAsia="Times New Roman" w:hAnsi="Times New Roman"/>
                <w:sz w:val="16"/>
                <w:szCs w:val="16"/>
                <w:color w:val="auto"/>
                <w:vertAlign w:val="superscript"/>
              </w:rPr>
              <w:t>(7)</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Torrey Point</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94,854</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96.3</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96.3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6,066,499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66.41</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Crossing</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Beach,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1982/2022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224,009</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77.5</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8,883,519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53.16</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0"/>
        </w:trPr>
        <w:tc>
          <w:tcPr>
            <w:tcW w:w="172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The Landmark at One Market</w:t>
            </w:r>
          </w:p>
        </w:tc>
        <w:tc>
          <w:tcPr>
            <w:tcW w:w="108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San Francisco, CA</w:t>
            </w: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1917/2000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422,426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3"/>
                <w:szCs w:val="13"/>
                <w:color w:val="auto"/>
              </w:rPr>
              <w:t>100.0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3"/>
                <w:szCs w:val="13"/>
                <w:color w:val="auto"/>
                <w:w w:val="96"/>
              </w:rPr>
              <w:t>98.4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42,804,454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102.98</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22"/>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7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One Beach Street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1924/2024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89,067</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50.9</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1,206,026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93.38</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&amp; Main</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Portland, OR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362,633</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83.9</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74.0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9,152,335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Lloyd Portfolio</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Portland, OR</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1940/2022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568,270</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85.0</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81.1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15,914,345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Center Bellevue</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1987/2023</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498,606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95.1</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93.4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30,202,101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64.85</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14Acres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1985/2024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276,060</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57.1</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6,283,576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Timber Ridge</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160,509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97.5</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8,334,970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Timber Springs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93,295</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72.7</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181"/>
        </w:trPr>
        <w:tc>
          <w:tcPr>
            <w:tcW w:w="280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Subtotal/Weighted Average Office Portfolio </w:t>
            </w:r>
            <w:r>
              <w:rPr>
                <w:rFonts w:ascii="Times New Roman" w:cs="Times New Roman" w:eastAsia="Times New Roman" w:hAnsi="Times New Roman"/>
                <w:sz w:val="16"/>
                <w:szCs w:val="16"/>
                <w:b w:val="1"/>
                <w:bCs w:val="1"/>
                <w:color w:val="auto"/>
                <w:vertAlign w:val="superscript"/>
              </w:rPr>
              <w:t>(9)</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85.8%</w:t>
            </w:r>
          </w:p>
        </w:tc>
        <w:tc>
          <w:tcPr>
            <w:tcW w:w="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80.9%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211,357,657</w:t>
            </w:r>
          </w:p>
        </w:tc>
        <w:tc>
          <w:tcPr>
            <w:tcW w:w="16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61.13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48"/>
        </w:trPr>
        <w:tc>
          <w:tcPr>
            <w:tcW w:w="17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Retail Properties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Carmel Country Plaza</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78,098</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100.0%</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96.8%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4,259,780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Sharp Healthcare, San Diego County Credit Union</w:t>
            </w:r>
          </w:p>
        </w:tc>
      </w:tr>
      <w:tr>
        <w:trPr>
          <w:trHeight w:val="134"/>
        </w:trPr>
        <w:tc>
          <w:tcPr>
            <w:tcW w:w="17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color w:val="auto"/>
              </w:rPr>
              <w:t xml:space="preserve">Carmel Mountain Plaza </w:t>
            </w:r>
            <w:r>
              <w:rPr>
                <w:rFonts w:ascii="Times New Roman" w:cs="Times New Roman" w:eastAsia="Times New Roman" w:hAnsi="Times New Roman"/>
                <w:sz w:val="15"/>
                <w:szCs w:val="15"/>
                <w:color w:val="auto"/>
                <w:vertAlign w:val="superscript"/>
              </w:rPr>
              <w:t>(10)</w:t>
            </w:r>
          </w:p>
        </w:tc>
        <w:tc>
          <w:tcPr>
            <w:tcW w:w="108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1994/2020</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528,416</w:t>
            </w:r>
          </w:p>
        </w:tc>
        <w:tc>
          <w:tcPr>
            <w:tcW w:w="8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99.8</w:t>
            </w:r>
          </w:p>
        </w:tc>
        <w:tc>
          <w:tcPr>
            <w:tcW w:w="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14,935,615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28.32</w:t>
            </w:r>
          </w:p>
        </w:tc>
        <w:tc>
          <w:tcPr>
            <w:tcW w:w="60" w:type="dxa"/>
            <w:vAlign w:val="bottom"/>
          </w:tcPr>
          <w:p>
            <w:pPr>
              <w:spacing w:after="0"/>
              <w:rPr>
                <w:sz w:val="11"/>
                <w:szCs w:val="11"/>
                <w:color w:val="auto"/>
              </w:rPr>
            </w:pPr>
          </w:p>
        </w:tc>
        <w:tc>
          <w:tcPr>
            <w:tcW w:w="11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At Home Stores</w:t>
            </w:r>
          </w:p>
        </w:tc>
        <w:tc>
          <w:tcPr>
            <w:tcW w:w="272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color w:val="auto"/>
              </w:rPr>
              <w:t>Dick's Sporting Goods, Sprouts Farmers Market,</w:t>
            </w:r>
          </w:p>
        </w:tc>
      </w:tr>
      <w:tr>
        <w:trPr>
          <w:trHeight w:val="126"/>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Nordstrom Rack, Total Wine &amp; More, Marshalls,</w:t>
            </w:r>
          </w:p>
        </w:tc>
      </w:tr>
      <w:tr>
        <w:trPr>
          <w:trHeight w:val="171"/>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Angelika Film Center</w:t>
            </w:r>
          </w:p>
        </w:tc>
      </w:tr>
      <w:tr>
        <w:trPr>
          <w:trHeight w:val="196"/>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South Bay Marketplace </w:t>
            </w:r>
            <w:r>
              <w:rPr>
                <w:rFonts w:ascii="Times New Roman" w:cs="Times New Roman" w:eastAsia="Times New Roman" w:hAnsi="Times New Roman"/>
                <w:sz w:val="16"/>
                <w:szCs w:val="16"/>
                <w:color w:val="auto"/>
                <w:vertAlign w:val="superscript"/>
              </w:rPr>
              <w:t>(10)</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1997/2018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132,877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97.8</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2,545,294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Ross Dress for Less, Grocery Outlet, Old Navy</w:t>
            </w:r>
          </w:p>
        </w:tc>
      </w:tr>
      <w:tr>
        <w:trPr>
          <w:trHeight w:val="189"/>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Gateway Marketplace </w:t>
            </w:r>
            <w:r>
              <w:rPr>
                <w:rFonts w:ascii="Times New Roman" w:cs="Times New Roman" w:eastAsia="Times New Roman" w:hAnsi="Times New Roman"/>
                <w:sz w:val="16"/>
                <w:szCs w:val="16"/>
                <w:color w:val="auto"/>
                <w:vertAlign w:val="superscript"/>
              </w:rPr>
              <w:t>(10)</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1997/2016</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127,861</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2,733,204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Hobby Lobby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Smart &amp; Final, Aldi</w:t>
            </w: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Lomas Santa Fe Plaza</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Solana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1972/1997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208,297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96.0</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6,664,696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Vons, Home Goods</w:t>
            </w: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Beach Towne Centre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Solana Beach,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1973/2004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246,651</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99.5</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7,585,874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Dixieline Probuild, Marshalls, CVS Pharmacy</w:t>
            </w: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Geary Marketplace</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Walnut Creek,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35,097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98.3</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90.2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1,171,688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Sprouts Farmers Market</w:t>
            </w:r>
          </w:p>
        </w:tc>
      </w:tr>
      <w:tr>
        <w:trPr>
          <w:trHeight w:val="16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Shops at Kalakaua</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Honolulu, HI</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1971/2006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11,893</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1,220,880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102.66</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Hawaii Beachware &amp; Fashion, Diesel U.S.A.</w:t>
            </w:r>
          </w:p>
        </w:tc>
      </w:tr>
      <w:tr>
        <w:trPr>
          <w:trHeight w:val="21"/>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4"/>
        </w:trPr>
        <w:tc>
          <w:tcPr>
            <w:tcW w:w="172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Waikele Center</w:t>
            </w:r>
          </w:p>
        </w:tc>
        <w:tc>
          <w:tcPr>
            <w:tcW w:w="108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Waipahu, HI</w:t>
            </w:r>
          </w:p>
        </w:tc>
        <w:tc>
          <w:tcPr>
            <w:tcW w:w="6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1993/2008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418,395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98.2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13,296,818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32.36</w:t>
            </w:r>
          </w:p>
        </w:tc>
        <w:tc>
          <w:tcPr>
            <w:tcW w:w="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Lowe's, Safeway,</w:t>
            </w:r>
          </w:p>
        </w:tc>
        <w:tc>
          <w:tcPr>
            <w:tcW w:w="27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UFC Gym, Office Max, Old Navy</w:t>
            </w:r>
          </w:p>
        </w:tc>
      </w:tr>
      <w:tr>
        <w:trPr>
          <w:trHeight w:val="174"/>
        </w:trPr>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Inspire Church</w:t>
            </w:r>
          </w:p>
        </w:tc>
        <w:tc>
          <w:tcPr>
            <w:tcW w:w="2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4"/>
        </w:trPr>
        <w:tc>
          <w:tcPr>
            <w:tcW w:w="17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color w:val="auto"/>
              </w:rPr>
              <w:t xml:space="preserve">Alamo Quarry Market </w:t>
            </w:r>
            <w:r>
              <w:rPr>
                <w:rFonts w:ascii="Times New Roman" w:cs="Times New Roman" w:eastAsia="Times New Roman" w:hAnsi="Times New Roman"/>
                <w:sz w:val="15"/>
                <w:szCs w:val="15"/>
                <w:color w:val="auto"/>
                <w:vertAlign w:val="superscript"/>
              </w:rPr>
              <w:t>(10)</w:t>
            </w:r>
          </w:p>
        </w:tc>
        <w:tc>
          <w:tcPr>
            <w:tcW w:w="108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San Antonio, TX</w:t>
            </w:r>
          </w:p>
        </w:tc>
        <w:tc>
          <w:tcPr>
            <w:tcW w:w="6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1997/1999</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588,148</w:t>
            </w:r>
          </w:p>
        </w:tc>
        <w:tc>
          <w:tcPr>
            <w:tcW w:w="8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99.8</w:t>
            </w:r>
          </w:p>
        </w:tc>
        <w:tc>
          <w:tcPr>
            <w:tcW w:w="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16,788,067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28.69</w:t>
            </w:r>
          </w:p>
        </w:tc>
        <w:tc>
          <w:tcPr>
            <w:tcW w:w="60" w:type="dxa"/>
            <w:vAlign w:val="bottom"/>
          </w:tcPr>
          <w:p>
            <w:pPr>
              <w:spacing w:after="0"/>
              <w:rPr>
                <w:sz w:val="11"/>
                <w:szCs w:val="11"/>
                <w:color w:val="auto"/>
              </w:rPr>
            </w:pPr>
          </w:p>
        </w:tc>
        <w:tc>
          <w:tcPr>
            <w:tcW w:w="11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Regal Cinemas</w:t>
            </w:r>
          </w:p>
        </w:tc>
        <w:tc>
          <w:tcPr>
            <w:tcW w:w="272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color w:val="auto"/>
              </w:rPr>
              <w:t>Whole Foods Market, Nordstrom Rack, Home</w:t>
            </w:r>
          </w:p>
        </w:tc>
      </w:tr>
      <w:tr>
        <w:trPr>
          <w:trHeight w:val="169"/>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Goods, Gold's Gym</w:t>
            </w:r>
          </w:p>
        </w:tc>
      </w:tr>
      <w:tr>
        <w:trPr>
          <w:trHeight w:val="194"/>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Hassalo on Eighth - Retail</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Portland, OR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44,236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57.5</w:t>
            </w: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57.5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871,973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Providence Health &amp; Services, Sola Salons</w:t>
            </w:r>
          </w:p>
        </w:tc>
      </w:tr>
      <w:tr>
        <w:trPr>
          <w:trHeight w:val="181"/>
        </w:trPr>
        <w:tc>
          <w:tcPr>
            <w:tcW w:w="2800" w:type="dxa"/>
            <w:vAlign w:val="bottom"/>
            <w:tcBorders>
              <w:bottom w:val="single" w:sz="8" w:color="CCEEFF"/>
            </w:tcBorders>
            <w:gridSpan w:val="4"/>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Subtotal/Weighted Average Retail Portfolio </w:t>
            </w:r>
            <w:r>
              <w:rPr>
                <w:rFonts w:ascii="Times New Roman" w:cs="Times New Roman" w:eastAsia="Times New Roman" w:hAnsi="Times New Roman"/>
                <w:sz w:val="16"/>
                <w:szCs w:val="16"/>
                <w:b w:val="1"/>
                <w:bCs w:val="1"/>
                <w:color w:val="auto"/>
                <w:vertAlign w:val="superscript"/>
              </w:rPr>
              <w:t>(9)</w:t>
            </w: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98.3%</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97.6%</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72,073,889</w:t>
            </w:r>
          </w:p>
        </w:tc>
        <w:tc>
          <w:tcPr>
            <w:tcW w:w="160" w:type="dxa"/>
            <w:vAlign w:val="bottom"/>
            <w:tcBorders>
              <w:bottom w:val="single" w:sz="8" w:color="CCEEFF"/>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30.52</w:t>
            </w: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206"/>
        </w:trPr>
        <w:tc>
          <w:tcPr>
            <w:tcW w:w="3560" w:type="dxa"/>
            <w:vAlign w:val="bottom"/>
            <w:tcBorders>
              <w:bottom w:val="single" w:sz="8" w:color="CCEEFF"/>
            </w:tcBorders>
            <w:gridSpan w:val="6"/>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Total/Weighted Average Office and Retail Portfolio </w:t>
            </w:r>
            <w:r>
              <w:rPr>
                <w:rFonts w:ascii="Times New Roman" w:cs="Times New Roman" w:eastAsia="Times New Roman" w:hAnsi="Times New Roman"/>
                <w:sz w:val="16"/>
                <w:szCs w:val="16"/>
                <w:b w:val="1"/>
                <w:bCs w:val="1"/>
                <w:color w:val="auto"/>
                <w:vertAlign w:val="superscript"/>
              </w:rPr>
              <w:t>(9)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6,693,644</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90.3%</w:t>
            </w: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87.0%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283,431,546</w:t>
            </w:r>
          </w:p>
        </w:tc>
        <w:tc>
          <w:tcPr>
            <w:tcW w:w="16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48.67</w:t>
            </w: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97"/>
        </w:trPr>
        <w:tc>
          <w:tcPr>
            <w:tcW w:w="3560" w:type="dxa"/>
            <w:vAlign w:val="bottom"/>
            <w:tcBorders>
              <w:bottom w:val="single" w:sz="8" w:color="003366"/>
            </w:tcBorders>
            <w:gridSpan w:val="6"/>
          </w:tcPr>
          <w:p>
            <w:pPr>
              <w:spacing w:after="0"/>
              <w:rPr>
                <w:sz w:val="8"/>
                <w:szCs w:val="8"/>
                <w:color w:val="auto"/>
              </w:rPr>
            </w:pPr>
          </w:p>
        </w:tc>
        <w:tc>
          <w:tcPr>
            <w:tcW w:w="620" w:type="dxa"/>
            <w:vAlign w:val="bottom"/>
            <w:tcBorders>
              <w:bottom w:val="single" w:sz="8" w:color="003366"/>
            </w:tcBorders>
          </w:tcPr>
          <w:p>
            <w:pPr>
              <w:spacing w:after="0"/>
              <w:rPr>
                <w:sz w:val="8"/>
                <w:szCs w:val="8"/>
                <w:color w:val="auto"/>
              </w:rPr>
            </w:pPr>
          </w:p>
        </w:tc>
        <w:tc>
          <w:tcPr>
            <w:tcW w:w="80" w:type="dxa"/>
            <w:vAlign w:val="bottom"/>
            <w:tcBorders>
              <w:bottom w:val="single" w:sz="8" w:color="003366"/>
            </w:tcBorders>
          </w:tcPr>
          <w:p>
            <w:pPr>
              <w:spacing w:after="0"/>
              <w:rPr>
                <w:sz w:val="8"/>
                <w:szCs w:val="8"/>
                <w:color w:val="auto"/>
              </w:rPr>
            </w:pPr>
          </w:p>
        </w:tc>
        <w:tc>
          <w:tcPr>
            <w:tcW w:w="620" w:type="dxa"/>
            <w:vAlign w:val="bottom"/>
            <w:tcBorders>
              <w:bottom w:val="single" w:sz="8" w:color="003366"/>
            </w:tcBorders>
          </w:tcPr>
          <w:p>
            <w:pPr>
              <w:spacing w:after="0"/>
              <w:rPr>
                <w:sz w:val="8"/>
                <w:szCs w:val="8"/>
                <w:color w:val="auto"/>
              </w:rPr>
            </w:pPr>
          </w:p>
        </w:tc>
        <w:tc>
          <w:tcPr>
            <w:tcW w:w="60" w:type="dxa"/>
            <w:vAlign w:val="bottom"/>
            <w:tcBorders>
              <w:bottom w:val="single" w:sz="8" w:color="003366"/>
            </w:tcBorders>
          </w:tcPr>
          <w:p>
            <w:pPr>
              <w:spacing w:after="0"/>
              <w:rPr>
                <w:sz w:val="8"/>
                <w:szCs w:val="8"/>
                <w:color w:val="auto"/>
              </w:rPr>
            </w:pPr>
          </w:p>
        </w:tc>
        <w:tc>
          <w:tcPr>
            <w:tcW w:w="620" w:type="dxa"/>
            <w:vAlign w:val="bottom"/>
            <w:tcBorders>
              <w:bottom w:val="single" w:sz="8" w:color="003366"/>
            </w:tcBorders>
          </w:tcPr>
          <w:p>
            <w:pPr>
              <w:spacing w:after="0"/>
              <w:rPr>
                <w:sz w:val="8"/>
                <w:szCs w:val="8"/>
                <w:color w:val="auto"/>
              </w:rPr>
            </w:pPr>
          </w:p>
        </w:tc>
        <w:tc>
          <w:tcPr>
            <w:tcW w:w="80" w:type="dxa"/>
            <w:vAlign w:val="bottom"/>
            <w:tcBorders>
              <w:bottom w:val="single" w:sz="8" w:color="003366"/>
            </w:tcBorders>
          </w:tcPr>
          <w:p>
            <w:pPr>
              <w:spacing w:after="0"/>
              <w:rPr>
                <w:sz w:val="8"/>
                <w:szCs w:val="8"/>
                <w:color w:val="auto"/>
              </w:rPr>
            </w:pPr>
          </w:p>
        </w:tc>
        <w:tc>
          <w:tcPr>
            <w:tcW w:w="100" w:type="dxa"/>
            <w:vAlign w:val="bottom"/>
            <w:tcBorders>
              <w:bottom w:val="single" w:sz="8" w:color="003366"/>
            </w:tcBorders>
          </w:tcPr>
          <w:p>
            <w:pPr>
              <w:spacing w:after="0"/>
              <w:rPr>
                <w:sz w:val="8"/>
                <w:szCs w:val="8"/>
                <w:color w:val="auto"/>
              </w:rPr>
            </w:pPr>
          </w:p>
        </w:tc>
        <w:tc>
          <w:tcPr>
            <w:tcW w:w="720" w:type="dxa"/>
            <w:vAlign w:val="bottom"/>
            <w:tcBorders>
              <w:bottom w:val="single" w:sz="8" w:color="003366"/>
            </w:tcBorders>
          </w:tcPr>
          <w:p>
            <w:pPr>
              <w:spacing w:after="0"/>
              <w:rPr>
                <w:sz w:val="8"/>
                <w:szCs w:val="8"/>
                <w:color w:val="auto"/>
              </w:rPr>
            </w:pPr>
          </w:p>
        </w:tc>
        <w:tc>
          <w:tcPr>
            <w:tcW w:w="80" w:type="dxa"/>
            <w:vAlign w:val="bottom"/>
            <w:tcBorders>
              <w:bottom w:val="single" w:sz="8" w:color="003366"/>
            </w:tcBorders>
          </w:tcPr>
          <w:p>
            <w:pPr>
              <w:spacing w:after="0"/>
              <w:rPr>
                <w:sz w:val="8"/>
                <w:szCs w:val="8"/>
                <w:color w:val="auto"/>
              </w:rPr>
            </w:pPr>
          </w:p>
        </w:tc>
        <w:tc>
          <w:tcPr>
            <w:tcW w:w="80" w:type="dxa"/>
            <w:vAlign w:val="bottom"/>
            <w:tcBorders>
              <w:bottom w:val="single" w:sz="8" w:color="003366"/>
            </w:tcBorders>
          </w:tcPr>
          <w:p>
            <w:pPr>
              <w:spacing w:after="0"/>
              <w:rPr>
                <w:sz w:val="8"/>
                <w:szCs w:val="8"/>
                <w:color w:val="auto"/>
              </w:rPr>
            </w:pPr>
          </w:p>
        </w:tc>
        <w:tc>
          <w:tcPr>
            <w:tcW w:w="760" w:type="dxa"/>
            <w:vAlign w:val="bottom"/>
            <w:tcBorders>
              <w:bottom w:val="single" w:sz="8" w:color="003366"/>
            </w:tcBorders>
          </w:tcPr>
          <w:p>
            <w:pPr>
              <w:spacing w:after="0"/>
              <w:rPr>
                <w:sz w:val="8"/>
                <w:szCs w:val="8"/>
                <w:color w:val="auto"/>
              </w:rPr>
            </w:pPr>
          </w:p>
        </w:tc>
        <w:tc>
          <w:tcPr>
            <w:tcW w:w="60" w:type="dxa"/>
            <w:vAlign w:val="bottom"/>
            <w:tcBorders>
              <w:bottom w:val="single" w:sz="8" w:color="003366"/>
            </w:tcBorders>
          </w:tcPr>
          <w:p>
            <w:pPr>
              <w:spacing w:after="0"/>
              <w:rPr>
                <w:sz w:val="8"/>
                <w:szCs w:val="8"/>
                <w:color w:val="auto"/>
              </w:rPr>
            </w:pPr>
          </w:p>
        </w:tc>
        <w:tc>
          <w:tcPr>
            <w:tcW w:w="1020" w:type="dxa"/>
            <w:vAlign w:val="bottom"/>
            <w:tcBorders>
              <w:bottom w:val="single" w:sz="8" w:color="003366"/>
            </w:tcBorders>
          </w:tcPr>
          <w:p>
            <w:pPr>
              <w:spacing w:after="0"/>
              <w:rPr>
                <w:sz w:val="8"/>
                <w:szCs w:val="8"/>
                <w:color w:val="auto"/>
              </w:rPr>
            </w:pPr>
          </w:p>
        </w:tc>
        <w:tc>
          <w:tcPr>
            <w:tcW w:w="80" w:type="dxa"/>
            <w:vAlign w:val="bottom"/>
            <w:tcBorders>
              <w:bottom w:val="single" w:sz="8" w:color="003366"/>
            </w:tcBorders>
          </w:tcPr>
          <w:p>
            <w:pPr>
              <w:spacing w:after="0"/>
              <w:rPr>
                <w:sz w:val="8"/>
                <w:szCs w:val="8"/>
                <w:color w:val="auto"/>
              </w:rPr>
            </w:pPr>
          </w:p>
        </w:tc>
        <w:tc>
          <w:tcPr>
            <w:tcW w:w="2700" w:type="dxa"/>
            <w:vAlign w:val="bottom"/>
            <w:tcBorders>
              <w:bottom w:val="single" w:sz="8" w:color="003366"/>
            </w:tcBorders>
          </w:tcPr>
          <w:p>
            <w:pPr>
              <w:spacing w:after="0"/>
              <w:rPr>
                <w:sz w:val="8"/>
                <w:szCs w:val="8"/>
                <w:color w:val="auto"/>
              </w:rPr>
            </w:pPr>
          </w:p>
        </w:tc>
        <w:tc>
          <w:tcPr>
            <w:tcW w:w="20" w:type="dxa"/>
            <w:vAlign w:val="bottom"/>
          </w:tcPr>
          <w:p>
            <w:pPr>
              <w:spacing w:after="0"/>
              <w:rPr>
                <w:sz w:val="8"/>
                <w:szCs w:val="8"/>
                <w:color w:val="auto"/>
              </w:rPr>
            </w:pPr>
          </w:p>
        </w:tc>
      </w:tr>
      <w:tr>
        <w:trPr>
          <w:trHeight w:val="205"/>
        </w:trPr>
        <w:tc>
          <w:tcPr>
            <w:tcW w:w="35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3366"/>
              </w:rPr>
              <w:t>Third Quarter 2026 Supplemental Information</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003366"/>
              </w:rPr>
              <w:t>Page 23</w:t>
            </w:r>
          </w:p>
        </w:tc>
      </w:tr>
    </w:tbl>
    <w:p>
      <w:pPr>
        <w:sectPr>
          <w:pgSz w:w="11900" w:h="16838" w:orient="portrait"/>
          <w:cols w:equalWidth="0" w:num="1">
            <w:col w:w="11260"/>
          </w:cols>
          <w:pgMar w:left="320" w:top="401" w:right="319" w:bottom="1440" w:gutter="0" w:footer="0" w:header="0"/>
        </w:sectPr>
      </w:pPr>
    </w:p>
    <w:bookmarkStart w:id="35" w:name="page36"/>
    <w:bookmarkEnd w:id="35"/>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REPORT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24" w:lineRule="exact"/>
        <w:rPr>
          <w:sz w:val="20"/>
          <w:szCs w:val="20"/>
          <w:color w:val="auto"/>
        </w:rPr>
      </w:pPr>
    </w:p>
    <w:tbl>
      <w:tblPr>
        <w:tblLayout w:type="fixed"/>
        <w:tblInd w:w="5" w:type="dxa"/>
        <w:tblCellMar>
          <w:top w:w="0" w:type="dxa"/>
          <w:left w:w="0" w:type="dxa"/>
          <w:bottom w:w="0" w:type="dxa"/>
          <w:right w:w="0" w:type="dxa"/>
        </w:tblCellMar>
      </w:tblPr>
      <w:tr>
        <w:trPr>
          <w:trHeight w:val="144"/>
        </w:trPr>
        <w:tc>
          <w:tcPr>
            <w:tcW w:w="2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w w:val="97"/>
              </w:rPr>
              <w:t>Average Monthly</w:t>
            </w:r>
          </w:p>
        </w:tc>
        <w:tc>
          <w:tcPr>
            <w:tcW w:w="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Year Built/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0" w:type="dxa"/>
            <w:vAlign w:val="bottom"/>
          </w:tcPr>
          <w:p>
            <w:pPr>
              <w:spacing w:after="0"/>
              <w:rPr>
                <w:sz w:val="14"/>
                <w:szCs w:val="14"/>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03366"/>
                <w:w w:val="99"/>
              </w:rPr>
              <w:t>Base Rent per</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Most Recent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99"/>
              </w:rPr>
              <w:t>Property</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rPr>
              <w:t>Renovation</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rPr>
              <w:t>Units</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003366"/>
              </w:rPr>
              <w:t xml:space="preserve">Leased </w:t>
            </w:r>
            <w:r>
              <w:rPr>
                <w:rFonts w:ascii="Times New Roman" w:cs="Times New Roman" w:eastAsia="Times New Roman" w:hAnsi="Times New Roman"/>
                <w:sz w:val="14"/>
                <w:szCs w:val="14"/>
                <w:b w:val="1"/>
                <w:bCs w:val="1"/>
                <w:color w:val="003366"/>
                <w:vertAlign w:val="superscript"/>
              </w:rPr>
              <w:t>(2)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w w:val="96"/>
              </w:rPr>
              <w:t xml:space="preserve">Occupied </w:t>
            </w:r>
            <w:r>
              <w:rPr>
                <w:rFonts w:ascii="Times New Roman" w:cs="Times New Roman" w:eastAsia="Times New Roman" w:hAnsi="Times New Roman"/>
                <w:sz w:val="14"/>
                <w:szCs w:val="14"/>
                <w:b w:val="1"/>
                <w:bCs w:val="1"/>
                <w:color w:val="003366"/>
                <w:w w:val="96"/>
                <w:vertAlign w:val="superscript"/>
              </w:rPr>
              <w:t>(2)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w w:val="95"/>
              </w:rPr>
              <w:t xml:space="preserve">Base Rent </w:t>
            </w:r>
            <w:r>
              <w:rPr>
                <w:rFonts w:ascii="Times New Roman" w:cs="Times New Roman" w:eastAsia="Times New Roman" w:hAnsi="Times New Roman"/>
                <w:sz w:val="14"/>
                <w:szCs w:val="14"/>
                <w:b w:val="1"/>
                <w:bCs w:val="1"/>
                <w:color w:val="003366"/>
                <w:w w:val="95"/>
                <w:vertAlign w:val="superscript"/>
              </w:rPr>
              <w:t>(3)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w w:val="97"/>
              </w:rPr>
              <w:t xml:space="preserve">Occupied Unit </w:t>
            </w:r>
            <w:r>
              <w:rPr>
                <w:rFonts w:ascii="Times New Roman" w:cs="Times New Roman" w:eastAsia="Times New Roman" w:hAnsi="Times New Roman"/>
                <w:sz w:val="14"/>
                <w:szCs w:val="14"/>
                <w:b w:val="1"/>
                <w:bCs w:val="1"/>
                <w:color w:val="003366"/>
                <w:w w:val="97"/>
                <w:vertAlign w:val="superscript"/>
              </w:rPr>
              <w:t>(4)</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Loma Palisades</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1958/2022</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96.4%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5"/>
              </w:rPr>
              <w:t>93.6%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18,234,300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4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Imperial Beach Gardens</w:t>
            </w:r>
          </w:p>
        </w:tc>
        <w:tc>
          <w:tcPr>
            <w:tcW w:w="11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Imperial Beach,</w:t>
            </w:r>
          </w:p>
        </w:tc>
        <w:tc>
          <w:tcPr>
            <w:tcW w:w="9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1959/2023</w:t>
            </w:r>
          </w:p>
        </w:tc>
        <w:tc>
          <w:tcPr>
            <w:tcW w:w="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96.9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40"/>
              <w:spacing w:after="0" w:line="134" w:lineRule="exact"/>
              <w:rPr>
                <w:sz w:val="20"/>
                <w:szCs w:val="20"/>
                <w:color w:val="auto"/>
              </w:rPr>
            </w:pPr>
            <w:r>
              <w:rPr>
                <w:rFonts w:ascii="Times New Roman" w:cs="Times New Roman" w:eastAsia="Times New Roman" w:hAnsi="Times New Roman"/>
                <w:sz w:val="13"/>
                <w:szCs w:val="13"/>
                <w:color w:val="auto"/>
                <w:w w:val="96"/>
              </w:rPr>
              <w:t>96.9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5,037,660</w:t>
            </w:r>
          </w:p>
        </w:tc>
        <w:tc>
          <w:tcPr>
            <w:tcW w:w="1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2,708</w:t>
            </w: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Mariner's Point</w:t>
            </w:r>
          </w:p>
        </w:tc>
        <w:tc>
          <w:tcPr>
            <w:tcW w:w="112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Imperial Beach,</w:t>
            </w:r>
          </w:p>
        </w:tc>
        <w:tc>
          <w:tcPr>
            <w:tcW w:w="9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1986</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w w:val="96"/>
              </w:rPr>
              <w:t>95.5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40"/>
              <w:spacing w:after="0" w:line="139" w:lineRule="exact"/>
              <w:rPr>
                <w:sz w:val="20"/>
                <w:szCs w:val="20"/>
                <w:color w:val="auto"/>
              </w:rPr>
            </w:pPr>
            <w:r>
              <w:rPr>
                <w:rFonts w:ascii="Times New Roman" w:cs="Times New Roman" w:eastAsia="Times New Roman" w:hAnsi="Times New Roman"/>
                <w:sz w:val="13"/>
                <w:szCs w:val="13"/>
                <w:color w:val="auto"/>
                <w:w w:val="96"/>
              </w:rPr>
              <w:t>95.5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2,314,008</w:t>
            </w:r>
          </w:p>
        </w:tc>
        <w:tc>
          <w:tcPr>
            <w:tcW w:w="16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2,295</w:t>
            </w: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Pacific Ridge Apartments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auto"/>
                <w:w w:val="96"/>
              </w:rPr>
              <w:t>96.6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27,482,316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4,448</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Genesee Park</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97.9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6"/>
              </w:rPr>
              <w:t>96.9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5,354,472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Hassalo on Eighth - Multifamily </w:t>
            </w:r>
            <w:r>
              <w:rPr>
                <w:rFonts w:ascii="Times New Roman" w:cs="Times New Roman" w:eastAsia="Times New Roman" w:hAnsi="Times New Roman"/>
                <w:sz w:val="16"/>
                <w:szCs w:val="16"/>
                <w:color w:val="auto"/>
                <w:vertAlign w:val="superscript"/>
              </w:rPr>
              <w:t>(12)</w:t>
            </w: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Portland, OR</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91.8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color w:val="auto"/>
                <w:w w:val="96"/>
              </w:rPr>
              <w:t>91.0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11,927,160</w:t>
            </w:r>
          </w:p>
        </w:tc>
        <w:tc>
          <w:tcPr>
            <w:tcW w:w="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Total/Weighted Average Multifamily Portfolio</w:t>
            </w:r>
          </w:p>
        </w:tc>
        <w:tc>
          <w:tcPr>
            <w:tcW w:w="9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95.8%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5"/>
              </w:rPr>
              <w:t>94.2%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70,349,916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Santa Fe Park RV Resort </w:t>
            </w:r>
            <w:r>
              <w:rPr>
                <w:rFonts w:ascii="Times New Roman" w:cs="Times New Roman" w:eastAsia="Times New Roman" w:hAnsi="Times New Roman"/>
                <w:sz w:val="16"/>
                <w:szCs w:val="16"/>
                <w:color w:val="auto"/>
                <w:vertAlign w:val="superscript"/>
              </w:rPr>
              <w:t>(11)</w:t>
            </w: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1971/2008</w:t>
            </w: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62.1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color w:val="auto"/>
                <w:w w:val="96"/>
              </w:rPr>
              <w:t>62.1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1,522,140</w:t>
            </w:r>
          </w:p>
        </w:tc>
        <w:tc>
          <w:tcPr>
            <w:tcW w:w="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400" w:type="dxa"/>
            <w:vAlign w:val="bottom"/>
            <w:gridSpan w:val="6"/>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Total/Weighted Average Multifamily Portfolio (including Santa Fe Park RV</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94.0%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5"/>
              </w:rPr>
              <w:t>92.4%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71,872,056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Resort)</w:t>
            </w: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tcBorders>
              <w:bottom w:val="single" w:sz="8" w:color="CCEEFF"/>
            </w:tcBorders>
            <w:gridSpan w:val="2"/>
            <w:vMerge w:val="continue"/>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003366"/>
                <w:w w:val="96"/>
              </w:rPr>
              <w:t>Mixed-Use Portfolio</w:t>
            </w: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Net Rentable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rPr>
              <w:t>Annualized Base</w:t>
            </w: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Year Built/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Square</w:t>
            </w: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Percentage</w:t>
            </w:r>
          </w:p>
        </w:tc>
        <w:tc>
          <w:tcPr>
            <w:tcW w:w="80" w:type="dxa"/>
            <w:vAlign w:val="bottom"/>
          </w:tcPr>
          <w:p>
            <w:pPr>
              <w:spacing w:after="0"/>
              <w:rPr>
                <w:sz w:val="14"/>
                <w:szCs w:val="14"/>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rPr>
              <w:t>Annualized</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003366"/>
                <w:w w:val="99"/>
              </w:rPr>
              <w:t>Rent per Occupied</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Most Recent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99"/>
              </w:rPr>
              <w:t>Retail Portion</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rPr>
              <w:t>Renovation</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88"/>
              </w:rPr>
              <w:t xml:space="preserve">Feet </w:t>
            </w:r>
            <w:r>
              <w:rPr>
                <w:rFonts w:ascii="Times New Roman" w:cs="Times New Roman" w:eastAsia="Times New Roman" w:hAnsi="Times New Roman"/>
                <w:sz w:val="14"/>
                <w:szCs w:val="14"/>
                <w:b w:val="1"/>
                <w:bCs w:val="1"/>
                <w:color w:val="003366"/>
                <w:w w:val="88"/>
                <w:vertAlign w:val="superscript"/>
              </w:rPr>
              <w:t>(1)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003366"/>
              </w:rPr>
              <w:t xml:space="preserve">Leased </w:t>
            </w:r>
            <w:r>
              <w:rPr>
                <w:rFonts w:ascii="Times New Roman" w:cs="Times New Roman" w:eastAsia="Times New Roman" w:hAnsi="Times New Roman"/>
                <w:sz w:val="14"/>
                <w:szCs w:val="14"/>
                <w:b w:val="1"/>
                <w:bCs w:val="1"/>
                <w:color w:val="003366"/>
                <w:vertAlign w:val="superscript"/>
              </w:rPr>
              <w:t>(2)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003366"/>
                <w:w w:val="98"/>
              </w:rPr>
              <w:t>Occupied</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w w:val="95"/>
              </w:rPr>
              <w:t xml:space="preserve">Base Rent </w:t>
            </w:r>
            <w:r>
              <w:rPr>
                <w:rFonts w:ascii="Times New Roman" w:cs="Times New Roman" w:eastAsia="Times New Roman" w:hAnsi="Times New Roman"/>
                <w:sz w:val="14"/>
                <w:szCs w:val="14"/>
                <w:b w:val="1"/>
                <w:bCs w:val="1"/>
                <w:color w:val="003366"/>
                <w:w w:val="95"/>
                <w:vertAlign w:val="superscript"/>
              </w:rPr>
              <w:t>(3)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w w:val="95"/>
              </w:rPr>
              <w:t xml:space="preserve">Square Foot </w:t>
            </w:r>
            <w:r>
              <w:rPr>
                <w:rFonts w:ascii="Times New Roman" w:cs="Times New Roman" w:eastAsia="Times New Roman" w:hAnsi="Times New Roman"/>
                <w:sz w:val="14"/>
                <w:szCs w:val="14"/>
                <w:b w:val="1"/>
                <w:bCs w:val="1"/>
                <w:color w:val="003366"/>
                <w:w w:val="95"/>
                <w:vertAlign w:val="superscript"/>
              </w:rPr>
              <w:t>(4)</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003366"/>
              </w:rPr>
              <w:t xml:space="preserve">Other Principal Retail Tenants </w:t>
            </w:r>
            <w:r>
              <w:rPr>
                <w:rFonts w:ascii="Times New Roman" w:cs="Times New Roman" w:eastAsia="Times New Roman" w:hAnsi="Times New Roman"/>
                <w:sz w:val="14"/>
                <w:szCs w:val="14"/>
                <w:b w:val="1"/>
                <w:bCs w:val="1"/>
                <w:color w:val="003366"/>
                <w:vertAlign w:val="superscript"/>
              </w:rPr>
              <w:t>(6)</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Waikiki Beach Walk - Retail</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Honolulu, HI</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7"/>
              </w:rPr>
              <w:t>93.7 %</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92.7 %</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9,502,756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109.14</w:t>
            </w:r>
          </w:p>
        </w:tc>
        <w:tc>
          <w:tcPr>
            <w:tcW w:w="8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Yardhouse, Roy's</w:t>
            </w:r>
          </w:p>
        </w:tc>
        <w:tc>
          <w:tcPr>
            <w:tcW w:w="0" w:type="dxa"/>
            <w:vAlign w:val="bottom"/>
          </w:tcPr>
          <w:p>
            <w:pPr>
              <w:spacing w:after="0"/>
              <w:rPr>
                <w:sz w:val="1"/>
                <w:szCs w:val="1"/>
                <w:color w:val="auto"/>
              </w:rPr>
            </w:pPr>
          </w:p>
        </w:tc>
      </w:tr>
      <w:tr>
        <w:trPr>
          <w:trHeight w:val="387"/>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w w:val="99"/>
              </w:rPr>
              <w:t>Year Built/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003366"/>
              </w:rPr>
              <w:t>Average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003366"/>
              </w:rPr>
              <w:t>Average</w:t>
            </w:r>
          </w:p>
        </w:tc>
        <w:tc>
          <w:tcPr>
            <w:tcW w:w="80" w:type="dxa"/>
            <w:vAlign w:val="bottom"/>
          </w:tcPr>
          <w:p>
            <w:pPr>
              <w:spacing w:after="0"/>
              <w:rPr>
                <w:sz w:val="24"/>
                <w:szCs w:val="24"/>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003366"/>
                <w:w w:val="98"/>
              </w:rPr>
              <w:t>Revenue per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003366"/>
              </w:rPr>
              <w:t>Hotel Portion</w:t>
            </w:r>
          </w:p>
        </w:tc>
        <w:tc>
          <w:tcPr>
            <w:tcW w:w="60" w:type="dxa"/>
            <w:vAlign w:val="bottom"/>
            <w:vMerge w:val="restart"/>
          </w:tcPr>
          <w:p>
            <w:pPr>
              <w:spacing w:after="0"/>
              <w:rPr>
                <w:sz w:val="15"/>
                <w:szCs w:val="15"/>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003366"/>
              </w:rPr>
              <w:t>Location</w:t>
            </w:r>
          </w:p>
        </w:tc>
        <w:tc>
          <w:tcPr>
            <w:tcW w:w="80" w:type="dxa"/>
            <w:vAlign w:val="bottom"/>
            <w:vMerge w:val="restart"/>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003366"/>
              </w:rPr>
              <w:t>Most Recent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003366"/>
              </w:rPr>
              <w:t>Units</w:t>
            </w:r>
          </w:p>
        </w:tc>
        <w:tc>
          <w:tcPr>
            <w:tcW w:w="80" w:type="dxa"/>
            <w:vAlign w:val="bottom"/>
            <w:vMerge w:val="restart"/>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003366"/>
              </w:rPr>
              <w:t xml:space="preserve">Occupancy </w:t>
            </w:r>
            <w:r>
              <w:rPr>
                <w:rFonts w:ascii="Times New Roman" w:cs="Times New Roman" w:eastAsia="Times New Roman" w:hAnsi="Times New Roman"/>
                <w:sz w:val="14"/>
                <w:szCs w:val="14"/>
                <w:b w:val="1"/>
                <w:bCs w:val="1"/>
                <w:color w:val="003366"/>
                <w:vertAlign w:val="superscript"/>
              </w:rPr>
              <w:t>(13)</w:t>
            </w:r>
          </w:p>
        </w:tc>
        <w:tc>
          <w:tcPr>
            <w:tcW w:w="8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003366"/>
                <w:w w:val="93"/>
              </w:rPr>
              <w:t xml:space="preserve">Daily Rate </w:t>
            </w:r>
            <w:r>
              <w:rPr>
                <w:rFonts w:ascii="Times New Roman" w:cs="Times New Roman" w:eastAsia="Times New Roman" w:hAnsi="Times New Roman"/>
                <w:sz w:val="14"/>
                <w:szCs w:val="14"/>
                <w:b w:val="1"/>
                <w:bCs w:val="1"/>
                <w:color w:val="003366"/>
                <w:w w:val="93"/>
                <w:vertAlign w:val="superscript"/>
              </w:rPr>
              <w:t>(13)</w:t>
            </w:r>
          </w:p>
        </w:tc>
        <w:tc>
          <w:tcPr>
            <w:tcW w:w="8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003366"/>
              </w:rPr>
              <w:t>Available Room</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1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003366"/>
              </w:rPr>
              <w:t>Renovation</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7"/>
                <w:szCs w:val="7"/>
                <w:b w:val="1"/>
                <w:bCs w:val="1"/>
                <w:color w:val="003366"/>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Waikiki Beach Walk - Embassy Suites™</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Honolulu, HI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2008/2020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88.5 %  $</w:t>
            </w: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Notes:</w:t>
      </w:r>
    </w:p>
    <w:p>
      <w:pPr>
        <w:spacing w:after="0" w:line="15" w:lineRule="exact"/>
        <w:rPr>
          <w:sz w:val="20"/>
          <w:szCs w:val="20"/>
          <w:color w:val="auto"/>
        </w:rPr>
      </w:pPr>
    </w:p>
    <w:p>
      <w:pPr>
        <w:ind w:left="285" w:right="40" w:hanging="285"/>
        <w:spacing w:after="0" w:line="249" w:lineRule="auto"/>
        <w:tabs>
          <w:tab w:leader="none" w:pos="25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rentable square feet for each of our retail properties and the retail portion of our mixed-use property is the sum of (1) the square footages of existing leases, plus (2) for available space, the field-verified square footage. The net rentable square feet for each of our office properties is the sum of (1) the square footages of existing leases, plus (2) for available space, management’s estimate of net rentable square feet based, in part, on past leases. The net rentable square feet included in such office leases is generally determined consistently with the Building Owners and Managers Association, 2017 measurement guidelines. Net rentable square footage may be adjusted from the prior periods to reflect re-measurement of leased space at the properties.</w:t>
      </w:r>
    </w:p>
    <w:p>
      <w:pPr>
        <w:spacing w:after="0" w:line="54" w:lineRule="exact"/>
        <w:rPr>
          <w:rFonts w:ascii="Times New Roman" w:cs="Times New Roman" w:eastAsia="Times New Roman" w:hAnsi="Times New Roman"/>
          <w:sz w:val="12"/>
          <w:szCs w:val="12"/>
          <w:color w:val="auto"/>
        </w:rPr>
      </w:pPr>
    </w:p>
    <w:p>
      <w:pPr>
        <w:ind w:left="285" w:right="100" w:hanging="285"/>
        <w:spacing w:after="0" w:line="260" w:lineRule="auto"/>
        <w:tabs>
          <w:tab w:leader="none" w:pos="25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 leased for each of our retail and office properties and the retail portion of the mixed-use property includes square footage under leases as of September 30, 2026, including leases which may not have commenced as of September 30, 2026. Percentage occupied for our multifamily properties includes total units rented and occupied as of September 30, 2026. Percentage leased for our multifamily properties includes units leased but not occupied as of September 30, 2026.</w:t>
      </w:r>
    </w:p>
    <w:p>
      <w:pPr>
        <w:spacing w:after="0" w:line="60" w:lineRule="exact"/>
        <w:rPr>
          <w:rFonts w:ascii="Times New Roman" w:cs="Times New Roman" w:eastAsia="Times New Roman" w:hAnsi="Times New Roman"/>
          <w:sz w:val="12"/>
          <w:szCs w:val="12"/>
          <w:color w:val="auto"/>
        </w:rPr>
      </w:pPr>
    </w:p>
    <w:p>
      <w:pPr>
        <w:ind w:left="285" w:right="120" w:hanging="285"/>
        <w:spacing w:after="0" w:line="273" w:lineRule="auto"/>
        <w:tabs>
          <w:tab w:leader="none" w:pos="28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under commenced leases for the month ended September 30, 2026 by 12. In the case of triple net or modified gross leases, annualized base rent does not include tenant reimbursements for real estate taxes, insurance, common area or other operating expenses. The foregoing notwithstanding:</w:t>
      </w:r>
    </w:p>
    <w:p>
      <w:pPr>
        <w:spacing w:after="0" w:line="17" w:lineRule="exact"/>
        <w:rPr>
          <w:rFonts w:ascii="Times New Roman" w:cs="Times New Roman" w:eastAsia="Times New Roman" w:hAnsi="Times New Roman"/>
          <w:sz w:val="12"/>
          <w:szCs w:val="12"/>
          <w:color w:val="auto"/>
        </w:rPr>
      </w:pPr>
    </w:p>
    <w:p>
      <w:pPr>
        <w:ind w:left="565" w:right="40" w:hanging="282"/>
        <w:spacing w:after="0" w:line="314" w:lineRule="auto"/>
        <w:tabs>
          <w:tab w:leader="none" w:pos="560" w:val="left"/>
        </w:tabs>
        <w:numPr>
          <w:ilvl w:val="1"/>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annualized base rent for La Jolla Commons I &amp; II has been adjusted for this presentation to reflect that the contractual triple net leases were instead structured as modified gross leases, by adding the contractual annualized triple net base rent of $39,197,419 to our estimate of annual triple net operating expenses of $10,190,434 for an estimated annualized base rent on a modified gross lease basis of $49,387,853 for La Jolla Commons I &amp; II.</w:t>
      </w:r>
    </w:p>
    <w:p>
      <w:pPr>
        <w:ind w:left="565" w:right="140" w:hanging="282"/>
        <w:spacing w:after="0" w:line="273" w:lineRule="auto"/>
        <w:tabs>
          <w:tab w:leader="none" w:pos="5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14Acres has been adjusted for this presentation to reflect that the contractual triple net leases were instead structured as modified gross leases, by adding the contractual annualized triple net base rent of $4,464,306 to our estimate of annual triple net operating expenses of $1,819,271 for an estimated annualized base rent on a modified gross lease basis of $6,283,577 for 14Acres.</w:t>
      </w:r>
    </w:p>
    <w:p>
      <w:pPr>
        <w:spacing w:after="0" w:line="17" w:lineRule="exact"/>
        <w:rPr>
          <w:rFonts w:ascii="Times New Roman" w:cs="Times New Roman" w:eastAsia="Times New Roman" w:hAnsi="Times New Roman"/>
          <w:sz w:val="12"/>
          <w:szCs w:val="12"/>
          <w:color w:val="auto"/>
        </w:rPr>
      </w:pPr>
    </w:p>
    <w:p>
      <w:pPr>
        <w:ind w:left="565" w:right="120" w:hanging="282"/>
        <w:spacing w:after="0" w:line="273" w:lineRule="auto"/>
        <w:tabs>
          <w:tab w:leader="none" w:pos="5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Timber Ridge has been adjusted for this presentation to reflect that the contractual triple net leases were instead structured as modified gross leases, by adding the contractual annualized triple net base rent of $6,139,287 to our estimate of annual triple net operating expenses of $2,195,683 for an estimated annualized base rent on a modified gross lease basis of $8,334,970 for Timber Ridge.</w:t>
      </w:r>
    </w:p>
    <w:p>
      <w:pPr>
        <w:spacing w:after="0" w:line="17" w:lineRule="exact"/>
        <w:rPr>
          <w:rFonts w:ascii="Times New Roman" w:cs="Times New Roman" w:eastAsia="Times New Roman" w:hAnsi="Times New Roman"/>
          <w:sz w:val="12"/>
          <w:szCs w:val="12"/>
          <w:color w:val="auto"/>
        </w:rPr>
      </w:pPr>
    </w:p>
    <w:p>
      <w:pPr>
        <w:ind w:left="565" w:right="40" w:hanging="282"/>
        <w:spacing w:after="0" w:line="273" w:lineRule="auto"/>
        <w:tabs>
          <w:tab w:leader="none" w:pos="5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annualized base rent for Timber Springs has been adjusted for this presentation to reflect that the contractual triple net leases were instead structured as modified gross leases, by adding the contractual annualized triple net base rent of $2,311,571 to our estimate of annual triple net operating expenses of $885,511 for an estimated annualized base rent on a modified gross lease basis of $3,197,082 for Timber Springs.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14184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3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24</w:t>
      </w:r>
    </w:p>
    <w:p>
      <w:pPr>
        <w:sectPr>
          <w:pgSz w:w="11900" w:h="16838" w:orient="portrait"/>
          <w:cols w:equalWidth="0" w:num="1">
            <w:col w:w="11265"/>
          </w:cols>
          <w:pgMar w:left="315" w:top="401" w:right="319" w:bottom="1440" w:gutter="0" w:footer="0" w:header="0"/>
        </w:sectPr>
      </w:pPr>
    </w:p>
    <w:bookmarkStart w:id="36" w:name="page37"/>
    <w:bookmarkEnd w:id="36"/>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PROPERTY REPORT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85" w:right="120" w:hanging="285"/>
        <w:spacing w:after="0" w:line="255" w:lineRule="auto"/>
        <w:tabs>
          <w:tab w:leader="none" w:pos="251"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occupied square foot for our retail and office properties and the retail portion of the mixed-use property is calculated by dividing annualized base rent from commenced leases as of September 30, 2026, by occupied square footage. Annualized base rent per occupied unit for our multifamily properties is calculated by dividing annualized base rent by units occupied as of September 30, 2026. The foregoing notwithstanding, the annualized base rent per occupied square foot for La Jolla Commons, 14Acres, Timber Ridge and Timber Springs has been adjusted for this presentation to reflect that the contractual triple net leases were instead structured as modified gross leases. See footnote 3 for further explanation.</w:t>
      </w:r>
    </w:p>
    <w:p>
      <w:pPr>
        <w:spacing w:after="0" w:line="63"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anchor tenants are defined as retail tenants leasing 50,000 square feet or more.</w:t>
      </w:r>
    </w:p>
    <w:p>
      <w:pPr>
        <w:spacing w:after="0" w:line="74"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principal retail tenants, excluding anchor tenants.</w:t>
      </w:r>
    </w:p>
    <w:p>
      <w:pPr>
        <w:spacing w:after="0" w:line="86"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Coastal Collection at Torrey Reserve was formerly known as Torrey Reserve Campus.</w:t>
      </w:r>
    </w:p>
    <w:p>
      <w:pPr>
        <w:spacing w:after="0" w:line="86" w:lineRule="exact"/>
        <w:rPr>
          <w:rFonts w:ascii="Times New Roman" w:cs="Times New Roman" w:eastAsia="Times New Roman" w:hAnsi="Times New Roman"/>
          <w:sz w:val="12"/>
          <w:szCs w:val="12"/>
          <w:color w:val="auto"/>
        </w:rPr>
      </w:pPr>
    </w:p>
    <w:p>
      <w:pPr>
        <w:ind w:left="285" w:right="20" w:hanging="285"/>
        <w:spacing w:after="0" w:line="273" w:lineRule="auto"/>
        <w:tabs>
          <w:tab w:leader="none" w:pos="256"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property contains 422,426 net rentable square feet consisting of The Landmark at One Market (378,206 net rentable square feet) as well as a separate long-term leasehold interest in approximately 44,220 net rentable square feet of space located in an adjacent six-story leasehold known as the Annex. We currently lease the Annex from an affiliate of the Paramount Group pursuant to a long-term master lease effective through June 30, 2031.</w:t>
      </w:r>
    </w:p>
    <w:p>
      <w:pPr>
        <w:spacing w:after="0" w:line="40" w:lineRule="exact"/>
        <w:rPr>
          <w:rFonts w:ascii="Times New Roman" w:cs="Times New Roman" w:eastAsia="Times New Roman" w:hAnsi="Times New Roman"/>
          <w:sz w:val="12"/>
          <w:szCs w:val="12"/>
          <w:color w:val="auto"/>
        </w:rPr>
      </w:pPr>
    </w:p>
    <w:p>
      <w:pPr>
        <w:ind w:left="265" w:hanging="265"/>
        <w:spacing w:after="0"/>
        <w:tabs>
          <w:tab w:leader="none" w:pos="26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data for signed but not commenced leases as of September 30, 2026 is in the following table:</w:t>
      </w:r>
    </w:p>
    <w:p>
      <w:pPr>
        <w:spacing w:after="0" w:line="49" w:lineRule="exact"/>
        <w:rPr>
          <w:sz w:val="20"/>
          <w:szCs w:val="20"/>
          <w:color w:val="auto"/>
        </w:rPr>
      </w:pPr>
    </w:p>
    <w:tbl>
      <w:tblPr>
        <w:tblLayout w:type="fixed"/>
        <w:tblInd w:w="125" w:type="dxa"/>
        <w:tblCellMar>
          <w:top w:w="0" w:type="dxa"/>
          <w:left w:w="0" w:type="dxa"/>
          <w:bottom w:w="0" w:type="dxa"/>
          <w:right w:w="0" w:type="dxa"/>
        </w:tblCellMar>
      </w:tblPr>
      <w:tr>
        <w:trPr>
          <w:trHeight w:val="155"/>
        </w:trPr>
        <w:tc>
          <w:tcPr>
            <w:tcW w:w="156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Leased Square Feet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Annualized Base</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Pro Forma Annualized</w:t>
            </w:r>
          </w:p>
        </w:tc>
        <w:tc>
          <w:tcPr>
            <w:tcW w:w="0" w:type="dxa"/>
            <w:vAlign w:val="bottom"/>
          </w:tcPr>
          <w:p>
            <w:pPr>
              <w:spacing w:after="0"/>
              <w:rPr>
                <w:sz w:val="1"/>
                <w:szCs w:val="1"/>
                <w:color w:val="auto"/>
              </w:rPr>
            </w:pPr>
          </w:p>
        </w:tc>
      </w:tr>
      <w:tr>
        <w:trPr>
          <w:trHeight w:val="177"/>
        </w:trPr>
        <w:tc>
          <w:tcPr>
            <w:tcW w:w="156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Under Signed But</w:t>
            </w:r>
          </w:p>
        </w:tc>
        <w:tc>
          <w:tcPr>
            <w:tcW w:w="80" w:type="dxa"/>
            <w:vAlign w:val="bottom"/>
          </w:tcPr>
          <w:p>
            <w:pPr>
              <w:spacing w:after="0"/>
              <w:rPr>
                <w:sz w:val="15"/>
                <w:szCs w:val="15"/>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8"/>
              </w:rPr>
              <w:t>Annualized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Rent per</w:t>
            </w:r>
          </w:p>
        </w:tc>
        <w:tc>
          <w:tcPr>
            <w:tcW w:w="20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Base Rent per</w:t>
            </w:r>
          </w:p>
        </w:tc>
        <w:tc>
          <w:tcPr>
            <w:tcW w:w="0" w:type="dxa"/>
            <w:vAlign w:val="bottom"/>
          </w:tcPr>
          <w:p>
            <w:pPr>
              <w:spacing w:after="0"/>
              <w:rPr>
                <w:sz w:val="1"/>
                <w:szCs w:val="1"/>
                <w:color w:val="auto"/>
              </w:rPr>
            </w:pPr>
          </w:p>
        </w:tc>
      </w:tr>
      <w:tr>
        <w:trPr>
          <w:trHeight w:val="141"/>
        </w:trPr>
        <w:tc>
          <w:tcPr>
            <w:tcW w:w="1560" w:type="dxa"/>
            <w:vAlign w:val="bottom"/>
          </w:tcPr>
          <w:p>
            <w:pPr>
              <w:spacing w:after="0"/>
              <w:rPr>
                <w:sz w:val="12"/>
                <w:szCs w:val="12"/>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Not Commenced Leases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Base Rent (b)</w:t>
            </w:r>
          </w:p>
        </w:tc>
        <w:tc>
          <w:tcPr>
            <w:tcW w:w="8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Leased Square Foot (b)</w:t>
            </w:r>
          </w:p>
        </w:tc>
        <w:tc>
          <w:tcPr>
            <w:tcW w:w="80" w:type="dxa"/>
            <w:vAlign w:val="bottom"/>
            <w:vMerge w:val="restart"/>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Leased Square Foot (c)</w:t>
            </w:r>
          </w:p>
        </w:tc>
        <w:tc>
          <w:tcPr>
            <w:tcW w:w="0" w:type="dxa"/>
            <w:vAlign w:val="bottom"/>
          </w:tcPr>
          <w:p>
            <w:pPr>
              <w:spacing w:after="0"/>
              <w:rPr>
                <w:sz w:val="1"/>
                <w:szCs w:val="1"/>
                <w:color w:val="auto"/>
              </w:rPr>
            </w:pPr>
          </w:p>
        </w:tc>
      </w:tr>
      <w:tr>
        <w:trPr>
          <w:trHeight w:val="160"/>
        </w:trPr>
        <w:tc>
          <w:tcPr>
            <w:tcW w:w="15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Portfolio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11,954,193</w:t>
            </w:r>
          </w:p>
        </w:tc>
        <w:tc>
          <w:tcPr>
            <w:tcW w:w="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60.87</w:t>
            </w:r>
          </w:p>
        </w:tc>
        <w:tc>
          <w:tcPr>
            <w:tcW w:w="0" w:type="dxa"/>
            <w:vAlign w:val="bottom"/>
          </w:tcPr>
          <w:p>
            <w:pPr>
              <w:spacing w:after="0"/>
              <w:rPr>
                <w:sz w:val="1"/>
                <w:szCs w:val="1"/>
                <w:color w:val="auto"/>
              </w:rPr>
            </w:pPr>
          </w:p>
        </w:tc>
      </w:tr>
      <w:tr>
        <w:trPr>
          <w:trHeight w:val="172"/>
        </w:trPr>
        <w:tc>
          <w:tcPr>
            <w:tcW w:w="1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Retail Portfolio</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16,257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878,296</w:t>
            </w:r>
          </w:p>
        </w:tc>
        <w:tc>
          <w:tcPr>
            <w:tcW w:w="22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54.03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30.68</w:t>
            </w:r>
          </w:p>
        </w:tc>
        <w:tc>
          <w:tcPr>
            <w:tcW w:w="0" w:type="dxa"/>
            <w:vAlign w:val="bottom"/>
          </w:tcPr>
          <w:p>
            <w:pPr>
              <w:spacing w:after="0"/>
              <w:rPr>
                <w:sz w:val="1"/>
                <w:szCs w:val="1"/>
                <w:color w:val="auto"/>
              </w:rPr>
            </w:pPr>
          </w:p>
        </w:tc>
      </w:tr>
      <w:tr>
        <w:trPr>
          <w:trHeight w:val="200"/>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8"/>
              </w:rPr>
              <w:t>Total Retail and Office Portfolio</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225,614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12,832,489</w:t>
            </w:r>
          </w:p>
        </w:tc>
        <w:tc>
          <w:tcPr>
            <w:tcW w:w="2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49.00</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65" w:right="260" w:hanging="282"/>
        <w:spacing w:after="0" w:line="260" w:lineRule="auto"/>
        <w:tabs>
          <w:tab w:leader="none" w:pos="531"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Office portfolio leases signed but not commenced of 71,613, 72,966, 26,942, 30,982 and 6,854 square feet are expected to commence during the fourth quarter of 2026, and first, second, third and fourth quarters of 2027, respectively. Retail portfolio leases signed but not commenced of 3,188, 1,587, 3,786, 1,400 and 6,296 square feet are expected to commence during the fourth quarter of 2026 and first, second, third and fourth quarters of 2027, respectively.</w:t>
      </w:r>
    </w:p>
    <w:p>
      <w:pPr>
        <w:spacing w:after="0" w:line="24" w:lineRule="exact"/>
        <w:rPr>
          <w:rFonts w:ascii="Times New Roman" w:cs="Times New Roman" w:eastAsia="Times New Roman" w:hAnsi="Times New Roman"/>
          <w:sz w:val="12"/>
          <w:szCs w:val="12"/>
          <w:color w:val="auto"/>
        </w:rPr>
      </w:pPr>
    </w:p>
    <w:p>
      <w:pPr>
        <w:ind w:left="565" w:right="40" w:hanging="282"/>
        <w:spacing w:after="0" w:line="260" w:lineRule="auto"/>
        <w:tabs>
          <w:tab w:leader="none" w:pos="531"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for signed but not commenced leases as of September 30, 2026 by 12. In the case of triple net or modified gross leases, annualized base rent does not include tenant reimbursements for real estate taxes, insurance, common area or other operating expenses. Annualized base rent per leased square foot is calculated by dividing annualized base rent, by square footage for signed but not commenced leases.</w:t>
      </w:r>
    </w:p>
    <w:p>
      <w:pPr>
        <w:spacing w:after="0" w:line="24" w:lineRule="exact"/>
        <w:rPr>
          <w:rFonts w:ascii="Times New Roman" w:cs="Times New Roman" w:eastAsia="Times New Roman" w:hAnsi="Times New Roman"/>
          <w:sz w:val="12"/>
          <w:szCs w:val="12"/>
          <w:color w:val="auto"/>
        </w:rPr>
      </w:pPr>
    </w:p>
    <w:p>
      <w:pPr>
        <w:ind w:left="565" w:hanging="282"/>
        <w:spacing w:after="0"/>
        <w:tabs>
          <w:tab w:leader="none" w:pos="565" w:val="left"/>
        </w:tabs>
        <w:numPr>
          <w:ilvl w:val="1"/>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 forma annualized base rent is calculated by dividing annualized base rent for commenced leases and for signed but not commenced leases as of September 30, 2026, by square footage under lease as of September 30, 2026.</w:t>
      </w:r>
    </w:p>
    <w:p>
      <w:pPr>
        <w:spacing w:after="0" w:line="86" w:lineRule="exact"/>
        <w:rPr>
          <w:rFonts w:ascii="Times New Roman" w:cs="Times New Roman" w:eastAsia="Times New Roman" w:hAnsi="Times New Roman"/>
          <w:sz w:val="11"/>
          <w:szCs w:val="11"/>
          <w:color w:val="auto"/>
        </w:rPr>
      </w:pPr>
    </w:p>
    <w:p>
      <w:pPr>
        <w:ind w:left="325" w:hanging="325"/>
        <w:spacing w:after="0"/>
        <w:tabs>
          <w:tab w:leader="none" w:pos="325"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rentable square feet at certain of our retail properties includes pad sites leased pursuant to the ground leases in the following table:</w:t>
      </w:r>
    </w:p>
    <w:p>
      <w:pPr>
        <w:spacing w:after="0" w:line="113" w:lineRule="exact"/>
        <w:rPr>
          <w:sz w:val="20"/>
          <w:szCs w:val="20"/>
          <w:color w:val="auto"/>
        </w:rPr>
      </w:pPr>
    </w:p>
    <w:tbl>
      <w:tblPr>
        <w:tblLayout w:type="fixed"/>
        <w:tblInd w:w="285" w:type="dxa"/>
        <w:tblCellMar>
          <w:top w:w="0" w:type="dxa"/>
          <w:left w:w="0" w:type="dxa"/>
          <w:bottom w:w="0" w:type="dxa"/>
          <w:right w:w="0" w:type="dxa"/>
        </w:tblCellMar>
      </w:tblPr>
      <w:tr>
        <w:trPr>
          <w:trHeight w:val="138"/>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Property</w:t>
            </w:r>
          </w:p>
        </w:tc>
        <w:tc>
          <w:tcPr>
            <w:tcW w:w="80" w:type="dxa"/>
            <w:vAlign w:val="bottom"/>
            <w:vMerge w:val="restart"/>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Number of Ground</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Square Footage Leased</w:t>
            </w:r>
          </w:p>
        </w:tc>
        <w:tc>
          <w:tcPr>
            <w:tcW w:w="100" w:type="dxa"/>
            <w:vAlign w:val="bottom"/>
          </w:tcPr>
          <w:p>
            <w:pPr>
              <w:spacing w:after="0"/>
              <w:rPr>
                <w:sz w:val="12"/>
                <w:szCs w:val="12"/>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w w:val="99"/>
              </w:rPr>
              <w:t>Aggregate Annualized</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Leases</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Pursuant to Ground Leases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Base Rent</w:t>
            </w:r>
          </w:p>
        </w:tc>
        <w:tc>
          <w:tcPr>
            <w:tcW w:w="0" w:type="dxa"/>
            <w:vAlign w:val="bottom"/>
          </w:tcPr>
          <w:p>
            <w:pPr>
              <w:spacing w:after="0"/>
              <w:rPr>
                <w:sz w:val="1"/>
                <w:szCs w:val="1"/>
                <w:color w:val="auto"/>
              </w:rPr>
            </w:pPr>
          </w:p>
        </w:tc>
      </w:tr>
      <w:tr>
        <w:trPr>
          <w:trHeight w:val="17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Carmel Mountain Plaza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1,055,634</w:t>
            </w:r>
          </w:p>
        </w:tc>
        <w:tc>
          <w:tcPr>
            <w:tcW w:w="0" w:type="dxa"/>
            <w:vAlign w:val="bottom"/>
          </w:tcPr>
          <w:p>
            <w:pPr>
              <w:spacing w:after="0"/>
              <w:rPr>
                <w:sz w:val="1"/>
                <w:szCs w:val="1"/>
                <w:color w:val="auto"/>
              </w:rPr>
            </w:pPr>
          </w:p>
        </w:tc>
      </w:tr>
      <w:tr>
        <w:trPr>
          <w:trHeight w:val="172"/>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 Bay Marketplace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114,552</w:t>
            </w:r>
          </w:p>
        </w:tc>
        <w:tc>
          <w:tcPr>
            <w:tcW w:w="0" w:type="dxa"/>
            <w:vAlign w:val="bottom"/>
          </w:tcPr>
          <w:p>
            <w:pPr>
              <w:spacing w:after="0"/>
              <w:rPr>
                <w:sz w:val="1"/>
                <w:szCs w:val="1"/>
                <w:color w:val="auto"/>
              </w:rPr>
            </w:pPr>
          </w:p>
        </w:tc>
      </w:tr>
      <w:tr>
        <w:trPr>
          <w:trHeight w:val="18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Alamo Quarry Market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723,455</w:t>
            </w:r>
          </w:p>
        </w:tc>
        <w:tc>
          <w:tcPr>
            <w:tcW w:w="0" w:type="dxa"/>
            <w:vAlign w:val="bottom"/>
          </w:tcPr>
          <w:p>
            <w:pPr>
              <w:spacing w:after="0"/>
              <w:rPr>
                <w:sz w:val="1"/>
                <w:szCs w:val="1"/>
                <w:color w:val="auto"/>
              </w:rPr>
            </w:pPr>
          </w:p>
        </w:tc>
      </w:tr>
      <w:tr>
        <w:trPr>
          <w:trHeight w:val="16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Gateway Marketplace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244,944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85" w:hanging="285"/>
        <w:spacing w:after="0" w:line="260" w:lineRule="auto"/>
        <w:tabs>
          <w:tab w:leader="none" w:pos="31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Santa Fe Park RV Resort is subject to seasonal variation, with higher rates of occupancy occurring during the summer months. During the 12 months ended September 30, 2026, the highest average monthly occupancy rate for this property was 84.7%, occurring in July 2026. The number of units at the Santa Fe Park RV Resort includes 120 RV spaces and four apartments. The Santa Fe Park RV resort is excluded from the multifamily presentation above to accurately reflect true multifamily performance.</w:t>
      </w:r>
    </w:p>
    <w:p>
      <w:pPr>
        <w:spacing w:after="0" w:line="60" w:lineRule="exact"/>
        <w:rPr>
          <w:rFonts w:ascii="Times New Roman" w:cs="Times New Roman" w:eastAsia="Times New Roman" w:hAnsi="Times New Roman"/>
          <w:sz w:val="12"/>
          <w:szCs w:val="12"/>
          <w:color w:val="auto"/>
        </w:rPr>
      </w:pPr>
    </w:p>
    <w:p>
      <w:pPr>
        <w:ind w:left="325" w:hanging="325"/>
        <w:spacing w:after="0"/>
        <w:tabs>
          <w:tab w:leader="none" w:pos="32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Hassalo on Eighth - Multifamily includes three residential buildings: Velomor, Aster Tower, and Elwood.</w:t>
      </w:r>
    </w:p>
    <w:p>
      <w:pPr>
        <w:spacing w:after="0" w:line="86" w:lineRule="exact"/>
        <w:rPr>
          <w:rFonts w:ascii="Times New Roman" w:cs="Times New Roman" w:eastAsia="Times New Roman" w:hAnsi="Times New Roman"/>
          <w:sz w:val="12"/>
          <w:szCs w:val="12"/>
          <w:color w:val="auto"/>
        </w:rPr>
      </w:pPr>
    </w:p>
    <w:p>
      <w:pPr>
        <w:ind w:left="285" w:right="160" w:hanging="285"/>
        <w:spacing w:after="0" w:line="253" w:lineRule="auto"/>
        <w:tabs>
          <w:tab w:leader="none" w:pos="31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occupancy represents the percentage of available units that were sold during the three months ended September 30,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the three months ended September 30, 2026 by the number of units sold. Revenue per available room, or RevPAR, represents the total unit revenue per total available units for the three months ended September 30, 2026 and is calculated by multiplying average occupancy by the average daily rate. RevPAR does not include food and beverage revenues or other hotel operations revenues such as telephone, parking and other guest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14184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33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25</w:t>
      </w:r>
    </w:p>
    <w:p>
      <w:pPr>
        <w:sectPr>
          <w:pgSz w:w="11900" w:h="16838" w:orient="portrait"/>
          <w:cols w:equalWidth="0" w:num="1">
            <w:col w:w="11245"/>
          </w:cols>
          <w:pgMar w:left="315" w:top="401" w:right="339" w:bottom="1440" w:gutter="0" w:footer="0" w:header="0"/>
        </w:sectPr>
      </w:pPr>
    </w:p>
    <w:bookmarkStart w:id="37" w:name="page38"/>
    <w:bookmarkEnd w:id="37"/>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OFFICE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003366"/>
              </w:rPr>
              <w:t>Three Months Ended September 30, 2026</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6"/>
              </w:rPr>
              <w:t>Number of</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8"/>
              </w:rPr>
              <w:t>Net Rentable</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6"/>
              </w:rPr>
              <w:t>Contractual</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Cash Basis %</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7"/>
              </w:rPr>
              <w:t>Straight-Line</w:t>
            </w:r>
          </w:p>
        </w:tc>
        <w:tc>
          <w:tcPr>
            <w:tcW w:w="10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b w:val="1"/>
                <w:bCs w:val="1"/>
                <w:color w:val="003366"/>
                <w:w w:val="97"/>
              </w:rPr>
              <w:t>Weighted</w:t>
            </w:r>
          </w:p>
        </w:tc>
        <w:tc>
          <w:tcPr>
            <w:tcW w:w="18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120" w:type="dxa"/>
            <w:vAlign w:val="bottom"/>
          </w:tcPr>
          <w:p>
            <w:pPr>
              <w:spacing w:after="0"/>
              <w:rPr>
                <w:sz w:val="14"/>
                <w:szCs w:val="14"/>
                <w:color w:val="auto"/>
              </w:rPr>
            </w:pPr>
          </w:p>
        </w:tc>
        <w:tc>
          <w:tcPr>
            <w:tcW w:w="1100" w:type="dxa"/>
            <w:vAlign w:val="bottom"/>
          </w:tcPr>
          <w:p>
            <w:pPr>
              <w:jc w:val="center"/>
              <w:ind w:right="41"/>
              <w:spacing w:after="0" w:line="169" w:lineRule="exact"/>
              <w:rPr>
                <w:sz w:val="20"/>
                <w:szCs w:val="20"/>
                <w:color w:val="auto"/>
              </w:rPr>
            </w:pPr>
            <w:r>
              <w:rPr>
                <w:rFonts w:ascii="Times New Roman" w:cs="Times New Roman" w:eastAsia="Times New Roman" w:hAnsi="Times New Roman"/>
                <w:sz w:val="16"/>
                <w:szCs w:val="16"/>
                <w:b w:val="1"/>
                <w:bCs w:val="1"/>
                <w:color w:val="003366"/>
                <w:w w:val="93"/>
              </w:rPr>
              <w:t>Tenant</w:t>
            </w: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8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003366"/>
                <w:w w:val="98"/>
              </w:rPr>
              <w:t>Average</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003366"/>
                <w:w w:val="97"/>
              </w:rPr>
              <w:t>Improvements &amp;</w:t>
            </w:r>
          </w:p>
        </w:tc>
        <w:tc>
          <w:tcPr>
            <w:tcW w:w="0" w:type="dxa"/>
            <w:vAlign w:val="bottom"/>
          </w:tcPr>
          <w:p>
            <w:pPr>
              <w:spacing w:after="0"/>
              <w:rPr>
                <w:sz w:val="1"/>
                <w:szCs w:val="1"/>
                <w:color w:val="auto"/>
              </w:rPr>
            </w:pPr>
          </w:p>
        </w:tc>
      </w:tr>
      <w:tr>
        <w:trPr>
          <w:trHeight w:val="166"/>
        </w:trPr>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003366"/>
              </w:rPr>
              <w:t>Lease Type</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Leases</w:t>
            </w:r>
          </w:p>
        </w:tc>
        <w:tc>
          <w:tcPr>
            <w:tcW w:w="112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Square Feet</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Rent Per Sq.</w:t>
            </w:r>
          </w:p>
        </w:tc>
        <w:tc>
          <w:tcPr>
            <w:tcW w:w="118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Change Over</w:t>
            </w:r>
          </w:p>
        </w:tc>
        <w:tc>
          <w:tcPr>
            <w:tcW w:w="126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Basis % Change</w:t>
            </w:r>
          </w:p>
        </w:tc>
        <w:tc>
          <w:tcPr>
            <w:tcW w:w="1080" w:type="dxa"/>
            <w:vAlign w:val="bottom"/>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Lease</w:t>
            </w:r>
          </w:p>
        </w:tc>
        <w:tc>
          <w:tcPr>
            <w:tcW w:w="132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Improvements &amp;</w:t>
            </w:r>
          </w:p>
        </w:tc>
        <w:tc>
          <w:tcPr>
            <w:tcW w:w="120" w:type="dxa"/>
            <w:vAlign w:val="bottom"/>
          </w:tcPr>
          <w:p>
            <w:pPr>
              <w:spacing w:after="0"/>
              <w:rPr>
                <w:sz w:val="14"/>
                <w:szCs w:val="14"/>
                <w:color w:val="auto"/>
              </w:rPr>
            </w:pPr>
          </w:p>
        </w:tc>
        <w:tc>
          <w:tcPr>
            <w:tcW w:w="1100" w:type="dxa"/>
            <w:vAlign w:val="bottom"/>
          </w:tcPr>
          <w:p>
            <w:pPr>
              <w:jc w:val="center"/>
              <w:ind w:right="21"/>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Incentives Per</w:t>
            </w:r>
          </w:p>
        </w:tc>
        <w:tc>
          <w:tcPr>
            <w:tcW w:w="0" w:type="dxa"/>
            <w:vAlign w:val="bottom"/>
          </w:tcPr>
          <w:p>
            <w:pPr>
              <w:spacing w:after="0"/>
              <w:rPr>
                <w:sz w:val="1"/>
                <w:szCs w:val="1"/>
                <w:color w:val="auto"/>
              </w:rPr>
            </w:pPr>
          </w:p>
        </w:tc>
      </w:tr>
      <w:tr>
        <w:trPr>
          <w:trHeight w:val="201"/>
        </w:trPr>
        <w:tc>
          <w:tcPr>
            <w:tcW w:w="1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5"/>
              </w:rPr>
              <w:t>Signed</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1"/>
              <w:spacing w:after="0" w:line="201" w:lineRule="exact"/>
              <w:rPr>
                <w:sz w:val="20"/>
                <w:szCs w:val="20"/>
                <w:color w:val="auto"/>
              </w:rPr>
            </w:pPr>
            <w:r>
              <w:rPr>
                <w:rFonts w:ascii="Times New Roman" w:cs="Times New Roman" w:eastAsia="Times New Roman" w:hAnsi="Times New Roman"/>
                <w:sz w:val="16"/>
                <w:szCs w:val="16"/>
                <w:b w:val="1"/>
                <w:bCs w:val="1"/>
                <w:color w:val="003366"/>
                <w:w w:val="93"/>
              </w:rPr>
              <w:t xml:space="preserve">Ft. </w:t>
            </w:r>
            <w:r>
              <w:rPr>
                <w:rFonts w:ascii="Times New Roman" w:cs="Times New Roman" w:eastAsia="Times New Roman" w:hAnsi="Times New Roman"/>
                <w:sz w:val="20"/>
                <w:szCs w:val="20"/>
                <w:b w:val="1"/>
                <w:bCs w:val="1"/>
                <w:color w:val="003366"/>
                <w:w w:val="93"/>
                <w:vertAlign w:val="superscript"/>
              </w:rPr>
              <w:t>(2)</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rPr>
              <w:t>Prior Rent</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Over Prior Rent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003366"/>
                <w:w w:val="89"/>
              </w:rPr>
              <w:t xml:space="preserve">Term </w:t>
            </w:r>
            <w:r>
              <w:rPr>
                <w:rFonts w:ascii="Times New Roman" w:cs="Times New Roman" w:eastAsia="Times New Roman" w:hAnsi="Times New Roman"/>
                <w:sz w:val="20"/>
                <w:szCs w:val="20"/>
                <w:b w:val="1"/>
                <w:bCs w:val="1"/>
                <w:color w:val="003366"/>
                <w:w w:val="89"/>
                <w:vertAlign w:val="superscript"/>
              </w:rPr>
              <w:t>(3)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003366"/>
                <w:w w:val="98"/>
              </w:rPr>
              <w:t>Incentives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rPr>
              <w:t>Sq. Ft.</w:t>
            </w:r>
          </w:p>
        </w:tc>
        <w:tc>
          <w:tcPr>
            <w:tcW w:w="0" w:type="dxa"/>
            <w:vAlign w:val="bottom"/>
          </w:tcPr>
          <w:p>
            <w:pPr>
              <w:spacing w:after="0"/>
              <w:rPr>
                <w:sz w:val="1"/>
                <w:szCs w:val="1"/>
                <w:color w:val="auto"/>
              </w:rPr>
            </w:pPr>
          </w:p>
        </w:tc>
      </w:tr>
      <w:tr>
        <w:trPr>
          <w:trHeight w:val="20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1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6,292,165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Non-Comparable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5,777,565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Comparable </w:t>
            </w:r>
            <w:r>
              <w:rPr>
                <w:rFonts w:ascii="Times New Roman" w:cs="Times New Roman" w:eastAsia="Times New Roman" w:hAnsi="Times New Roman"/>
                <w:sz w:val="20"/>
                <w:szCs w:val="20"/>
                <w:color w:val="auto"/>
                <w:vertAlign w:val="superscript"/>
              </w:rPr>
              <w:t>(1)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3"/>
        </w:trPr>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Comparable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6"/>
        </w:trPr>
        <w:tc>
          <w:tcPr>
            <w:tcW w:w="16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Renewal Comparable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43,987</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514,600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154"/>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(4)</w:t>
            </w:r>
          </w:p>
        </w:tc>
        <w:tc>
          <w:tcPr>
            <w:tcW w:w="9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2"/>
        </w:trPr>
        <w:tc>
          <w:tcPr>
            <w:tcW w:w="3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003366"/>
              </w:rPr>
              <w:t>Nine Months Ended September 30, 2026</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6"/>
              </w:rPr>
              <w:t>Number of</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8"/>
              </w:rPr>
              <w:t>Net Rentable</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6"/>
              </w:rPr>
              <w:t>Contractual</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Cash Basis %</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7"/>
              </w:rPr>
              <w:t>Straight-Line</w:t>
            </w:r>
          </w:p>
        </w:tc>
        <w:tc>
          <w:tcPr>
            <w:tcW w:w="10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b w:val="1"/>
                <w:bCs w:val="1"/>
                <w:color w:val="003366"/>
                <w:w w:val="97"/>
              </w:rPr>
              <w:t>Weighted</w:t>
            </w:r>
          </w:p>
        </w:tc>
        <w:tc>
          <w:tcPr>
            <w:tcW w:w="18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120" w:type="dxa"/>
            <w:vAlign w:val="bottom"/>
          </w:tcPr>
          <w:p>
            <w:pPr>
              <w:spacing w:after="0"/>
              <w:rPr>
                <w:sz w:val="14"/>
                <w:szCs w:val="14"/>
                <w:color w:val="auto"/>
              </w:rPr>
            </w:pPr>
          </w:p>
        </w:tc>
        <w:tc>
          <w:tcPr>
            <w:tcW w:w="1100" w:type="dxa"/>
            <w:vAlign w:val="bottom"/>
          </w:tcPr>
          <w:p>
            <w:pPr>
              <w:jc w:val="center"/>
              <w:ind w:right="41"/>
              <w:spacing w:after="0" w:line="169" w:lineRule="exact"/>
              <w:rPr>
                <w:sz w:val="20"/>
                <w:szCs w:val="20"/>
                <w:color w:val="auto"/>
              </w:rPr>
            </w:pPr>
            <w:r>
              <w:rPr>
                <w:rFonts w:ascii="Times New Roman" w:cs="Times New Roman" w:eastAsia="Times New Roman" w:hAnsi="Times New Roman"/>
                <w:sz w:val="16"/>
                <w:szCs w:val="16"/>
                <w:b w:val="1"/>
                <w:bCs w:val="1"/>
                <w:color w:val="003366"/>
                <w:w w:val="93"/>
              </w:rPr>
              <w:t>Tenant</w:t>
            </w: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8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003366"/>
                <w:w w:val="98"/>
              </w:rPr>
              <w:t>Average</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003366"/>
                <w:w w:val="97"/>
              </w:rPr>
              <w:t>Improvements &amp;</w:t>
            </w:r>
          </w:p>
        </w:tc>
        <w:tc>
          <w:tcPr>
            <w:tcW w:w="0" w:type="dxa"/>
            <w:vAlign w:val="bottom"/>
          </w:tcPr>
          <w:p>
            <w:pPr>
              <w:spacing w:after="0"/>
              <w:rPr>
                <w:sz w:val="1"/>
                <w:szCs w:val="1"/>
                <w:color w:val="auto"/>
              </w:rPr>
            </w:pPr>
          </w:p>
        </w:tc>
      </w:tr>
      <w:tr>
        <w:trPr>
          <w:trHeight w:val="166"/>
        </w:trPr>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003366"/>
              </w:rPr>
              <w:t>Lease Type</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Leases</w:t>
            </w:r>
          </w:p>
        </w:tc>
        <w:tc>
          <w:tcPr>
            <w:tcW w:w="112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Square Feet</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Rent Per Sq.</w:t>
            </w:r>
          </w:p>
        </w:tc>
        <w:tc>
          <w:tcPr>
            <w:tcW w:w="118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Change Over</w:t>
            </w:r>
          </w:p>
        </w:tc>
        <w:tc>
          <w:tcPr>
            <w:tcW w:w="126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Basis % Change</w:t>
            </w:r>
          </w:p>
        </w:tc>
        <w:tc>
          <w:tcPr>
            <w:tcW w:w="1080" w:type="dxa"/>
            <w:vAlign w:val="bottom"/>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Lease</w:t>
            </w:r>
          </w:p>
        </w:tc>
        <w:tc>
          <w:tcPr>
            <w:tcW w:w="132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Improvements &amp;</w:t>
            </w:r>
          </w:p>
        </w:tc>
        <w:tc>
          <w:tcPr>
            <w:tcW w:w="120" w:type="dxa"/>
            <w:vAlign w:val="bottom"/>
          </w:tcPr>
          <w:p>
            <w:pPr>
              <w:spacing w:after="0"/>
              <w:rPr>
                <w:sz w:val="14"/>
                <w:szCs w:val="14"/>
                <w:color w:val="auto"/>
              </w:rPr>
            </w:pPr>
          </w:p>
        </w:tc>
        <w:tc>
          <w:tcPr>
            <w:tcW w:w="1100" w:type="dxa"/>
            <w:vAlign w:val="bottom"/>
          </w:tcPr>
          <w:p>
            <w:pPr>
              <w:jc w:val="center"/>
              <w:ind w:right="21"/>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Incentives Per</w:t>
            </w:r>
          </w:p>
        </w:tc>
        <w:tc>
          <w:tcPr>
            <w:tcW w:w="0" w:type="dxa"/>
            <w:vAlign w:val="bottom"/>
          </w:tcPr>
          <w:p>
            <w:pPr>
              <w:spacing w:after="0"/>
              <w:rPr>
                <w:sz w:val="1"/>
                <w:szCs w:val="1"/>
                <w:color w:val="auto"/>
              </w:rPr>
            </w:pPr>
          </w:p>
        </w:tc>
      </w:tr>
      <w:tr>
        <w:trPr>
          <w:trHeight w:val="201"/>
        </w:trPr>
        <w:tc>
          <w:tcPr>
            <w:tcW w:w="1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5"/>
              </w:rPr>
              <w:t>Signed</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1"/>
              <w:spacing w:after="0" w:line="201" w:lineRule="exact"/>
              <w:rPr>
                <w:sz w:val="20"/>
                <w:szCs w:val="20"/>
                <w:color w:val="auto"/>
              </w:rPr>
            </w:pPr>
            <w:r>
              <w:rPr>
                <w:rFonts w:ascii="Times New Roman" w:cs="Times New Roman" w:eastAsia="Times New Roman" w:hAnsi="Times New Roman"/>
                <w:sz w:val="16"/>
                <w:szCs w:val="16"/>
                <w:b w:val="1"/>
                <w:bCs w:val="1"/>
                <w:color w:val="003366"/>
                <w:w w:val="93"/>
              </w:rPr>
              <w:t xml:space="preserve">Ft. </w:t>
            </w:r>
            <w:r>
              <w:rPr>
                <w:rFonts w:ascii="Times New Roman" w:cs="Times New Roman" w:eastAsia="Times New Roman" w:hAnsi="Times New Roman"/>
                <w:sz w:val="20"/>
                <w:szCs w:val="20"/>
                <w:b w:val="1"/>
                <w:bCs w:val="1"/>
                <w:color w:val="003366"/>
                <w:w w:val="93"/>
                <w:vertAlign w:val="superscript"/>
              </w:rPr>
              <w:t>(2)</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rPr>
              <w:t>Prior Rent</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Over Prior Rent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003366"/>
                <w:w w:val="89"/>
              </w:rPr>
              <w:t xml:space="preserve">Term </w:t>
            </w:r>
            <w:r>
              <w:rPr>
                <w:rFonts w:ascii="Times New Roman" w:cs="Times New Roman" w:eastAsia="Times New Roman" w:hAnsi="Times New Roman"/>
                <w:sz w:val="20"/>
                <w:szCs w:val="20"/>
                <w:b w:val="1"/>
                <w:bCs w:val="1"/>
                <w:color w:val="003366"/>
                <w:w w:val="89"/>
                <w:vertAlign w:val="superscript"/>
              </w:rPr>
              <w:t>(3)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003366"/>
                <w:w w:val="98"/>
              </w:rPr>
              <w:t>Incentives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rPr>
              <w:t>Sq. Ft.</w:t>
            </w:r>
          </w:p>
        </w:tc>
        <w:tc>
          <w:tcPr>
            <w:tcW w:w="0" w:type="dxa"/>
            <w:vAlign w:val="bottom"/>
          </w:tcPr>
          <w:p>
            <w:pPr>
              <w:spacing w:after="0"/>
              <w:rPr>
                <w:sz w:val="1"/>
                <w:szCs w:val="1"/>
                <w:color w:val="auto"/>
              </w:rPr>
            </w:pPr>
          </w:p>
        </w:tc>
      </w:tr>
      <w:tr>
        <w:trPr>
          <w:trHeight w:val="20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1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21,239,076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Non-Comparable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238,847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18,392,301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Comparable </w:t>
            </w:r>
            <w:r>
              <w:rPr>
                <w:rFonts w:ascii="Times New Roman" w:cs="Times New Roman" w:eastAsia="Times New Roman" w:hAnsi="Times New Roman"/>
                <w:sz w:val="20"/>
                <w:szCs w:val="20"/>
                <w:color w:val="auto"/>
                <w:vertAlign w:val="superscript"/>
              </w:rPr>
              <w:t>(1)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2,846,776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213"/>
        </w:trPr>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Comparable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1,431,488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166"/>
        </w:trPr>
        <w:tc>
          <w:tcPr>
            <w:tcW w:w="16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Renewal Comparable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169,455</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1,415,288</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54"/>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(4)</w:t>
            </w:r>
          </w:p>
        </w:tc>
        <w:tc>
          <w:tcPr>
            <w:tcW w:w="9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265" w:hanging="265"/>
        <w:spacing w:after="0"/>
        <w:tabs>
          <w:tab w:leader="none" w:pos="26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previous lease in the past six months.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contractual minimum rent under the new lease for the first twelve months of the term.</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calculated on the basis of square footage.</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renewals at fixed contractual rates specified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18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26</w:t>
      </w:r>
    </w:p>
    <w:p>
      <w:pPr>
        <w:sectPr>
          <w:pgSz w:w="11900" w:h="16838" w:orient="portrait"/>
          <w:cols w:equalWidth="0" w:num="1">
            <w:col w:w="11225"/>
          </w:cols>
          <w:pgMar w:left="315" w:top="401" w:right="359" w:bottom="1440" w:gutter="0" w:footer="0" w:header="0"/>
        </w:sectPr>
      </w:pPr>
    </w:p>
    <w:bookmarkStart w:id="38" w:name="page39"/>
    <w:bookmarkEnd w:id="38"/>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RETAIL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8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003366"/>
              </w:rPr>
              <w:t>Three Months Ended September 30, 2026</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003366"/>
                <w:w w:val="99"/>
              </w:rPr>
              <w:t>Number of</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003366"/>
                <w:w w:val="98"/>
              </w:rPr>
              <w:t>Net Rentable</w:t>
            </w:r>
          </w:p>
        </w:tc>
        <w:tc>
          <w:tcPr>
            <w:tcW w:w="100" w:type="dxa"/>
            <w:vAlign w:val="bottom"/>
          </w:tcPr>
          <w:p>
            <w:pPr>
              <w:spacing w:after="0"/>
              <w:rPr>
                <w:sz w:val="24"/>
                <w:szCs w:val="24"/>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9"/>
              </w:rPr>
              <w:t>Contractual</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7"/>
              </w:rPr>
              <w:t>Cash Basis %</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Straight-Line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7"/>
              </w:rPr>
              <w:t>Weighted</w:t>
            </w:r>
          </w:p>
        </w:tc>
        <w:tc>
          <w:tcPr>
            <w:tcW w:w="18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3"/>
              </w:rPr>
              <w:t>Tenant</w:t>
            </w:r>
          </w:p>
        </w:tc>
        <w:tc>
          <w:tcPr>
            <w:tcW w:w="120" w:type="dxa"/>
            <w:vAlign w:val="bottom"/>
          </w:tcPr>
          <w:p>
            <w:pPr>
              <w:spacing w:after="0"/>
              <w:rPr>
                <w:sz w:val="24"/>
                <w:szCs w:val="24"/>
                <w:color w:val="auto"/>
              </w:rPr>
            </w:pP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8"/>
              </w:rPr>
              <w:t>Tenant</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8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003366"/>
                <w:w w:val="94"/>
              </w:rPr>
              <w:t>Average</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003366"/>
                <w:w w:val="99"/>
              </w:rPr>
              <w:t>Improvements &amp;</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003366"/>
              </w:rPr>
              <w:t>Lease Type</w:t>
            </w:r>
          </w:p>
        </w:tc>
        <w:tc>
          <w:tcPr>
            <w:tcW w:w="80" w:type="dxa"/>
            <w:vAlign w:val="bottom"/>
          </w:tcPr>
          <w:p>
            <w:pPr>
              <w:spacing w:after="0"/>
              <w:rPr>
                <w:sz w:val="14"/>
                <w:szCs w:val="14"/>
                <w:color w:val="auto"/>
              </w:rPr>
            </w:pPr>
          </w:p>
        </w:tc>
        <w:tc>
          <w:tcPr>
            <w:tcW w:w="960" w:type="dxa"/>
            <w:vAlign w:val="bottom"/>
            <w:gridSpan w:val="3"/>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Leases</w:t>
            </w:r>
          </w:p>
        </w:tc>
        <w:tc>
          <w:tcPr>
            <w:tcW w:w="1080" w:type="dxa"/>
            <w:vAlign w:val="bottom"/>
            <w:gridSpan w:val="2"/>
          </w:tcPr>
          <w:p>
            <w:pPr>
              <w:jc w:val="center"/>
              <w:ind w:right="14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Square Feet</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Rent Per Sq.</w:t>
            </w:r>
          </w:p>
        </w:tc>
        <w:tc>
          <w:tcPr>
            <w:tcW w:w="14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Change Over</w:t>
            </w:r>
          </w:p>
        </w:tc>
        <w:tc>
          <w:tcPr>
            <w:tcW w:w="12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Basis % Change</w:t>
            </w:r>
          </w:p>
        </w:tc>
        <w:tc>
          <w:tcPr>
            <w:tcW w:w="10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Lease</w:t>
            </w:r>
          </w:p>
        </w:tc>
        <w:tc>
          <w:tcPr>
            <w:tcW w:w="130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Improvements &amp;</w:t>
            </w:r>
          </w:p>
        </w:tc>
        <w:tc>
          <w:tcPr>
            <w:tcW w:w="120" w:type="dxa"/>
            <w:vAlign w:val="bottom"/>
          </w:tcPr>
          <w:p>
            <w:pPr>
              <w:spacing w:after="0"/>
              <w:rPr>
                <w:sz w:val="14"/>
                <w:szCs w:val="14"/>
                <w:color w:val="auto"/>
              </w:rPr>
            </w:pPr>
          </w:p>
        </w:tc>
        <w:tc>
          <w:tcPr>
            <w:tcW w:w="1120" w:type="dxa"/>
            <w:vAlign w:val="bottom"/>
          </w:tcPr>
          <w:p>
            <w:pPr>
              <w:jc w:val="center"/>
              <w:ind w:right="41"/>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Incentives Per</w:t>
            </w:r>
          </w:p>
        </w:tc>
        <w:tc>
          <w:tcPr>
            <w:tcW w:w="0" w:type="dxa"/>
            <w:vAlign w:val="bottom"/>
          </w:tcPr>
          <w:p>
            <w:pPr>
              <w:spacing w:after="0"/>
              <w:rPr>
                <w:sz w:val="1"/>
                <w:szCs w:val="1"/>
                <w:color w:val="auto"/>
              </w:rPr>
            </w:pPr>
          </w:p>
        </w:tc>
      </w:tr>
      <w:tr>
        <w:trPr>
          <w:trHeight w:val="201"/>
        </w:trPr>
        <w:tc>
          <w:tcPr>
            <w:tcW w:w="1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3"/>
              <w:spacing w:after="0" w:line="201" w:lineRule="exact"/>
              <w:rPr>
                <w:sz w:val="20"/>
                <w:szCs w:val="20"/>
                <w:color w:val="auto"/>
              </w:rPr>
            </w:pPr>
            <w:r>
              <w:rPr>
                <w:rFonts w:ascii="Times New Roman" w:cs="Times New Roman" w:eastAsia="Times New Roman" w:hAnsi="Times New Roman"/>
                <w:sz w:val="23"/>
                <w:szCs w:val="23"/>
                <w:b w:val="1"/>
                <w:bCs w:val="1"/>
                <w:color w:val="003366"/>
                <w:vertAlign w:val="subscript"/>
              </w:rPr>
              <w:t>Ft.</w:t>
            </w:r>
            <w:r>
              <w:rPr>
                <w:rFonts w:ascii="Times New Roman" w:cs="Times New Roman" w:eastAsia="Times New Roman" w:hAnsi="Times New Roman"/>
                <w:sz w:val="9"/>
                <w:szCs w:val="9"/>
                <w:b w:val="1"/>
                <w:bCs w:val="1"/>
                <w:color w:val="003366"/>
              </w:rPr>
              <w:t xml:space="preserve"> (2)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Prior Rent</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Over Prior Rent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003366"/>
                <w:w w:val="89"/>
              </w:rPr>
              <w:t xml:space="preserve">Term </w:t>
            </w:r>
            <w:r>
              <w:rPr>
                <w:rFonts w:ascii="Times New Roman" w:cs="Times New Roman" w:eastAsia="Times New Roman" w:hAnsi="Times New Roman"/>
                <w:sz w:val="20"/>
                <w:szCs w:val="20"/>
                <w:b w:val="1"/>
                <w:bCs w:val="1"/>
                <w:color w:val="003366"/>
                <w:w w:val="89"/>
                <w:vertAlign w:val="superscript"/>
              </w:rPr>
              <w:t>(3)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003366"/>
                <w:w w:val="98"/>
              </w:rPr>
              <w:t>Incentives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7"/>
              </w:rPr>
              <w:t>Sq. Ft.</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108,344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Non-Comparable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14,186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w:t>
            </w: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4.9</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663,035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Comparable </w:t>
            </w:r>
            <w:r>
              <w:rPr>
                <w:rFonts w:ascii="Times New Roman" w:cs="Times New Roman" w:eastAsia="Times New Roman" w:hAnsi="Times New Roman"/>
                <w:sz w:val="20"/>
                <w:szCs w:val="20"/>
                <w:color w:val="auto"/>
                <w:vertAlign w:val="superscript"/>
              </w:rPr>
              <w:t>(1)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Comparable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9,152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8.4</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100"/>
              <w:spacing w:after="0" w:line="213" w:lineRule="exact"/>
              <w:rPr>
                <w:sz w:val="20"/>
                <w:szCs w:val="20"/>
                <w:color w:val="auto"/>
              </w:rPr>
            </w:pPr>
            <w:r>
              <w:rPr>
                <w:rFonts w:ascii="Times New Roman" w:cs="Times New Roman" w:eastAsia="Times New Roman" w:hAnsi="Times New Roman"/>
                <w:sz w:val="16"/>
                <w:szCs w:val="16"/>
                <w:color w:val="auto"/>
              </w:rPr>
              <w:t xml:space="preserve">Renewal Comparable </w:t>
            </w:r>
            <w:r>
              <w:rPr>
                <w:rFonts w:ascii="Times New Roman" w:cs="Times New Roman" w:eastAsia="Times New Roman" w:hAnsi="Times New Roman"/>
                <w:sz w:val="20"/>
                <w:szCs w:val="20"/>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662"/>
        </w:trPr>
        <w:tc>
          <w:tcPr>
            <w:tcW w:w="2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003366"/>
                <w:w w:val="98"/>
              </w:rPr>
              <w:t>Nine Months Ended September 30, 2026</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003366"/>
                <w:w w:val="99"/>
              </w:rPr>
              <w:t>Number of</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003366"/>
                <w:w w:val="98"/>
              </w:rPr>
              <w:t>Net Rentable</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003366"/>
                <w:w w:val="99"/>
              </w:rPr>
              <w:t>Contractual</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7"/>
              </w:rPr>
              <w:t>Cash Basis %</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Straight-Line</w:t>
            </w:r>
          </w:p>
        </w:tc>
        <w:tc>
          <w:tcPr>
            <w:tcW w:w="10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b w:val="1"/>
                <w:bCs w:val="1"/>
                <w:color w:val="003366"/>
                <w:w w:val="97"/>
              </w:rPr>
              <w:t>Weighted</w:t>
            </w:r>
          </w:p>
        </w:tc>
        <w:tc>
          <w:tcPr>
            <w:tcW w:w="18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003366"/>
                <w:w w:val="93"/>
              </w:rPr>
              <w:t>Tenant</w:t>
            </w:r>
          </w:p>
        </w:tc>
        <w:tc>
          <w:tcPr>
            <w:tcW w:w="120" w:type="dxa"/>
            <w:vAlign w:val="bottom"/>
          </w:tcPr>
          <w:p>
            <w:pPr>
              <w:spacing w:after="0"/>
              <w:rPr>
                <w:sz w:val="14"/>
                <w:szCs w:val="14"/>
                <w:color w:val="auto"/>
              </w:rPr>
            </w:pPr>
          </w:p>
        </w:tc>
        <w:tc>
          <w:tcPr>
            <w:tcW w:w="1120" w:type="dxa"/>
            <w:vAlign w:val="bottom"/>
          </w:tcPr>
          <w:p>
            <w:pPr>
              <w:jc w:val="center"/>
              <w:ind w:right="41"/>
              <w:spacing w:after="0" w:line="169" w:lineRule="exact"/>
              <w:rPr>
                <w:sz w:val="20"/>
                <w:szCs w:val="20"/>
                <w:color w:val="auto"/>
              </w:rPr>
            </w:pPr>
            <w:r>
              <w:rPr>
                <w:rFonts w:ascii="Times New Roman" w:cs="Times New Roman" w:eastAsia="Times New Roman" w:hAnsi="Times New Roman"/>
                <w:sz w:val="16"/>
                <w:szCs w:val="16"/>
                <w:b w:val="1"/>
                <w:bCs w:val="1"/>
                <w:color w:val="003366"/>
                <w:w w:val="98"/>
              </w:rPr>
              <w:t>Tenant</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8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003366"/>
                <w:w w:val="94"/>
              </w:rPr>
              <w:t>Average</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003366"/>
                <w:w w:val="99"/>
              </w:rPr>
              <w:t>Improvements &amp;</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003366"/>
              </w:rPr>
              <w:t>Lease Type</w:t>
            </w:r>
          </w:p>
        </w:tc>
        <w:tc>
          <w:tcPr>
            <w:tcW w:w="80" w:type="dxa"/>
            <w:vAlign w:val="bottom"/>
          </w:tcPr>
          <w:p>
            <w:pPr>
              <w:spacing w:after="0"/>
              <w:rPr>
                <w:sz w:val="14"/>
                <w:szCs w:val="14"/>
                <w:color w:val="auto"/>
              </w:rPr>
            </w:pPr>
          </w:p>
        </w:tc>
        <w:tc>
          <w:tcPr>
            <w:tcW w:w="960" w:type="dxa"/>
            <w:vAlign w:val="bottom"/>
            <w:gridSpan w:val="3"/>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003366"/>
                <w:w w:val="96"/>
              </w:rPr>
              <w:t>Leases</w:t>
            </w:r>
          </w:p>
        </w:tc>
        <w:tc>
          <w:tcPr>
            <w:tcW w:w="1080" w:type="dxa"/>
            <w:vAlign w:val="bottom"/>
            <w:gridSpan w:val="2"/>
          </w:tcPr>
          <w:p>
            <w:pPr>
              <w:jc w:val="center"/>
              <w:ind w:right="14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Square Feet</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003366"/>
                <w:w w:val="99"/>
              </w:rPr>
              <w:t>Rent Per Sq.</w:t>
            </w:r>
          </w:p>
        </w:tc>
        <w:tc>
          <w:tcPr>
            <w:tcW w:w="14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Change Over</w:t>
            </w:r>
          </w:p>
        </w:tc>
        <w:tc>
          <w:tcPr>
            <w:tcW w:w="12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Basis % Change</w:t>
            </w:r>
          </w:p>
        </w:tc>
        <w:tc>
          <w:tcPr>
            <w:tcW w:w="10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Lease</w:t>
            </w:r>
          </w:p>
        </w:tc>
        <w:tc>
          <w:tcPr>
            <w:tcW w:w="130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003366"/>
                <w:w w:val="97"/>
              </w:rPr>
              <w:t>Improvements &amp;</w:t>
            </w:r>
          </w:p>
        </w:tc>
        <w:tc>
          <w:tcPr>
            <w:tcW w:w="120" w:type="dxa"/>
            <w:vAlign w:val="bottom"/>
          </w:tcPr>
          <w:p>
            <w:pPr>
              <w:spacing w:after="0"/>
              <w:rPr>
                <w:sz w:val="14"/>
                <w:szCs w:val="14"/>
                <w:color w:val="auto"/>
              </w:rPr>
            </w:pPr>
          </w:p>
        </w:tc>
        <w:tc>
          <w:tcPr>
            <w:tcW w:w="1120" w:type="dxa"/>
            <w:vAlign w:val="bottom"/>
          </w:tcPr>
          <w:p>
            <w:pPr>
              <w:jc w:val="center"/>
              <w:ind w:right="41"/>
              <w:spacing w:after="0" w:line="165" w:lineRule="exact"/>
              <w:rPr>
                <w:sz w:val="20"/>
                <w:szCs w:val="20"/>
                <w:color w:val="auto"/>
              </w:rPr>
            </w:pPr>
            <w:r>
              <w:rPr>
                <w:rFonts w:ascii="Times New Roman" w:cs="Times New Roman" w:eastAsia="Times New Roman" w:hAnsi="Times New Roman"/>
                <w:sz w:val="16"/>
                <w:szCs w:val="16"/>
                <w:b w:val="1"/>
                <w:bCs w:val="1"/>
                <w:color w:val="003366"/>
                <w:w w:val="98"/>
              </w:rPr>
              <w:t>Incentives Per</w:t>
            </w:r>
          </w:p>
        </w:tc>
        <w:tc>
          <w:tcPr>
            <w:tcW w:w="0" w:type="dxa"/>
            <w:vAlign w:val="bottom"/>
          </w:tcPr>
          <w:p>
            <w:pPr>
              <w:spacing w:after="0"/>
              <w:rPr>
                <w:sz w:val="1"/>
                <w:szCs w:val="1"/>
                <w:color w:val="auto"/>
              </w:rPr>
            </w:pPr>
          </w:p>
        </w:tc>
      </w:tr>
      <w:tr>
        <w:trPr>
          <w:trHeight w:val="201"/>
        </w:trPr>
        <w:tc>
          <w:tcPr>
            <w:tcW w:w="1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Signed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3"/>
              <w:spacing w:after="0" w:line="201" w:lineRule="exact"/>
              <w:rPr>
                <w:sz w:val="20"/>
                <w:szCs w:val="20"/>
                <w:color w:val="auto"/>
              </w:rPr>
            </w:pPr>
            <w:r>
              <w:rPr>
                <w:rFonts w:ascii="Times New Roman" w:cs="Times New Roman" w:eastAsia="Times New Roman" w:hAnsi="Times New Roman"/>
                <w:sz w:val="16"/>
                <w:szCs w:val="16"/>
                <w:b w:val="1"/>
                <w:bCs w:val="1"/>
                <w:color w:val="003366"/>
                <w:w w:val="87"/>
              </w:rPr>
              <w:t xml:space="preserve">Ft. </w:t>
            </w:r>
            <w:r>
              <w:rPr>
                <w:rFonts w:ascii="Times New Roman" w:cs="Times New Roman" w:eastAsia="Times New Roman" w:hAnsi="Times New Roman"/>
                <w:sz w:val="20"/>
                <w:szCs w:val="20"/>
                <w:b w:val="1"/>
                <w:bCs w:val="1"/>
                <w:color w:val="003366"/>
                <w:w w:val="87"/>
                <w:vertAlign w:val="superscript"/>
              </w:rPr>
              <w:t>(2)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Prior Rent</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Over Prior Rent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003366"/>
                <w:w w:val="89"/>
              </w:rPr>
              <w:t xml:space="preserve">Term </w:t>
            </w:r>
            <w:r>
              <w:rPr>
                <w:rFonts w:ascii="Times New Roman" w:cs="Times New Roman" w:eastAsia="Times New Roman" w:hAnsi="Times New Roman"/>
                <w:sz w:val="20"/>
                <w:szCs w:val="20"/>
                <w:b w:val="1"/>
                <w:bCs w:val="1"/>
                <w:color w:val="003366"/>
                <w:w w:val="89"/>
                <w:vertAlign w:val="superscript"/>
              </w:rPr>
              <w:t>(3)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003366"/>
                <w:w w:val="98"/>
              </w:rPr>
              <w:t>Incentives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003366"/>
                <w:w w:val="97"/>
              </w:rPr>
              <w:t>Sq. Ft.</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285,918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Non-Comparable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6.2</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1,126,235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Comparable </w:t>
            </w:r>
            <w:r>
              <w:rPr>
                <w:rFonts w:ascii="Times New Roman" w:cs="Times New Roman" w:eastAsia="Times New Roman" w:hAnsi="Times New Roman"/>
                <w:sz w:val="20"/>
                <w:szCs w:val="20"/>
                <w:color w:val="auto"/>
                <w:vertAlign w:val="superscript"/>
              </w:rPr>
              <w:t>(1)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265,579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Comparable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19,152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6.6</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100"/>
              <w:spacing w:after="0" w:line="213" w:lineRule="exact"/>
              <w:rPr>
                <w:sz w:val="20"/>
                <w:szCs w:val="20"/>
                <w:color w:val="auto"/>
              </w:rPr>
            </w:pPr>
            <w:r>
              <w:rPr>
                <w:rFonts w:ascii="Times New Roman" w:cs="Times New Roman" w:eastAsia="Times New Roman" w:hAnsi="Times New Roman"/>
                <w:sz w:val="16"/>
                <w:szCs w:val="16"/>
                <w:color w:val="auto"/>
              </w:rPr>
              <w:t xml:space="preserve">Renewal Comparable </w:t>
            </w:r>
            <w:r>
              <w:rPr>
                <w:rFonts w:ascii="Times New Roman" w:cs="Times New Roman" w:eastAsia="Times New Roman" w:hAnsi="Times New Roman"/>
                <w:sz w:val="20"/>
                <w:szCs w:val="20"/>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previous lease in the past six months, including leases signed for the retail portion of our mixed-use property.</w:t>
      </w:r>
    </w:p>
    <w:p>
      <w:pPr>
        <w:ind w:left="265" w:hanging="265"/>
        <w:spacing w:after="0"/>
        <w:tabs>
          <w:tab w:leader="none" w:pos="26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contractual minimum rent under the new lease for the first twelve months of the term.</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calculated on the basis of square footage.</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renewals at fixed contractual rates specified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184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27</w:t>
      </w:r>
    </w:p>
    <w:p>
      <w:pPr>
        <w:sectPr>
          <w:pgSz w:w="11900" w:h="16838" w:orient="portrait"/>
          <w:cols w:equalWidth="0" w:num="1">
            <w:col w:w="11265"/>
          </w:cols>
          <w:pgMar w:left="315" w:top="401" w:right="31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MULTIFAMILY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Loma Palisades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16928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6"/>
                <w:szCs w:val="16"/>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6"/>
                <w:szCs w:val="16"/>
                <w:color w:val="auto"/>
              </w:rPr>
            </w:pPr>
          </w:p>
        </w:tc>
        <w:tc>
          <w:tcPr>
            <w:tcW w:w="4380" w:type="dxa"/>
            <w:vAlign w:val="bottom"/>
            <w:gridSpan w:val="2"/>
          </w:tcPr>
          <w:p>
            <w:pPr>
              <w:jc w:val="center"/>
              <w:ind w:right="1821"/>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513</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$18,234,300</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$2,962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522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95.3%</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$18,109,548</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$2,890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524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$18,438,396</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520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$18,131,064</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$2,905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Imperial Beach Gardens</w:t>
            </w:r>
          </w:p>
        </w:tc>
        <w:tc>
          <w:tcPr>
            <w:tcW w:w="1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8"/>
                <w:szCs w:val="18"/>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8"/>
                <w:szCs w:val="18"/>
                <w:color w:val="auto"/>
              </w:rPr>
            </w:pPr>
          </w:p>
        </w:tc>
        <w:tc>
          <w:tcPr>
            <w:tcW w:w="4380" w:type="dxa"/>
            <w:vAlign w:val="bottom"/>
            <w:gridSpan w:val="2"/>
          </w:tcPr>
          <w:p>
            <w:pPr>
              <w:jc w:val="center"/>
              <w:ind w:right="1821"/>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$5,037,660</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$2,708</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151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$4,759,620</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$2,626</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153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$4,981,524</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$2,714</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146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$4,754,016</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$2,712</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Mariner's Point</w:t>
            </w:r>
          </w:p>
        </w:tc>
        <w:tc>
          <w:tcPr>
            <w:tcW w:w="1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8"/>
                <w:szCs w:val="18"/>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8"/>
                <w:szCs w:val="18"/>
                <w:color w:val="auto"/>
              </w:rPr>
            </w:pPr>
          </w:p>
        </w:tc>
        <w:tc>
          <w:tcPr>
            <w:tcW w:w="4380" w:type="dxa"/>
            <w:vAlign w:val="bottom"/>
            <w:gridSpan w:val="2"/>
          </w:tcPr>
          <w:p>
            <w:pPr>
              <w:jc w:val="center"/>
              <w:ind w:right="1821"/>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84</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$2,314,008</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$2,295</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$2,308,740</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$2,374</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$2,317,632</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$2,383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$1,928,100</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$1,982</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Santa Fe Park RV Resort</w:t>
            </w:r>
          </w:p>
        </w:tc>
        <w:tc>
          <w:tcPr>
            <w:tcW w:w="1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8"/>
                <w:szCs w:val="18"/>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8"/>
                <w:szCs w:val="18"/>
                <w:color w:val="auto"/>
              </w:rPr>
            </w:pPr>
          </w:p>
        </w:tc>
        <w:tc>
          <w:tcPr>
            <w:tcW w:w="4380" w:type="dxa"/>
            <w:vAlign w:val="bottom"/>
            <w:gridSpan w:val="2"/>
          </w:tcPr>
          <w:p>
            <w:pPr>
              <w:jc w:val="center"/>
              <w:ind w:right="1821"/>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$1,522,140</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$1,647</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92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74.2%</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$2,319,192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$2,101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$1,246,668</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$1,790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$1,064,856</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$1,583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280" w:type="dxa"/>
            <w:vAlign w:val="bottom"/>
            <w:tcBorders>
              <w:bottom w:val="single" w:sz="8" w:color="003366"/>
            </w:tcBorders>
            <w:gridSpan w:val="4"/>
          </w:tcPr>
          <w:p>
            <w:pPr>
              <w:spacing w:after="0"/>
              <w:rPr>
                <w:sz w:val="24"/>
                <w:szCs w:val="24"/>
                <w:color w:val="auto"/>
              </w:rPr>
            </w:pPr>
          </w:p>
        </w:tc>
        <w:tc>
          <w:tcPr>
            <w:tcW w:w="170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1720" w:type="dxa"/>
            <w:vAlign w:val="bottom"/>
            <w:tcBorders>
              <w:bottom w:val="single" w:sz="8" w:color="003366"/>
            </w:tcBorders>
          </w:tcPr>
          <w:p>
            <w:pPr>
              <w:spacing w:after="0"/>
              <w:rPr>
                <w:sz w:val="24"/>
                <w:szCs w:val="24"/>
                <w:color w:val="auto"/>
              </w:rPr>
            </w:pPr>
          </w:p>
        </w:tc>
        <w:tc>
          <w:tcPr>
            <w:tcW w:w="80" w:type="dxa"/>
            <w:vAlign w:val="bottom"/>
            <w:tcBorders>
              <w:bottom w:val="single" w:sz="8" w:color="003366"/>
            </w:tcBorders>
          </w:tcPr>
          <w:p>
            <w:pPr>
              <w:spacing w:after="0"/>
              <w:rPr>
                <w:sz w:val="24"/>
                <w:szCs w:val="24"/>
                <w:color w:val="auto"/>
              </w:rPr>
            </w:pPr>
          </w:p>
        </w:tc>
        <w:tc>
          <w:tcPr>
            <w:tcW w:w="2480" w:type="dxa"/>
            <w:vAlign w:val="bottom"/>
            <w:tcBorders>
              <w:bottom w:val="single" w:sz="8" w:color="003366"/>
            </w:tcBorders>
          </w:tcPr>
          <w:p>
            <w:pPr>
              <w:spacing w:after="0"/>
              <w:rPr>
                <w:sz w:val="24"/>
                <w:szCs w:val="24"/>
                <w:color w:val="auto"/>
              </w:rPr>
            </w:pPr>
          </w:p>
        </w:tc>
        <w:tc>
          <w:tcPr>
            <w:tcW w:w="1900" w:type="dxa"/>
            <w:vAlign w:val="bottom"/>
            <w:tcBorders>
              <w:bottom w:val="single" w:sz="8" w:color="003366"/>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3366"/>
              </w:rPr>
              <w:t>Third Quarter 2026 Supplemental Information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900" w:type="dxa"/>
            <w:vAlign w:val="bottom"/>
          </w:tcPr>
          <w:p>
            <w:pPr>
              <w:ind w:left="1380"/>
              <w:spacing w:after="0"/>
              <w:rPr>
                <w:sz w:val="20"/>
                <w:szCs w:val="20"/>
                <w:color w:val="auto"/>
              </w:rPr>
            </w:pPr>
            <w:r>
              <w:rPr>
                <w:rFonts w:ascii="Times New Roman" w:cs="Times New Roman" w:eastAsia="Times New Roman" w:hAnsi="Times New Roman"/>
                <w:sz w:val="16"/>
                <w:szCs w:val="16"/>
                <w:color w:val="003366"/>
                <w:w w:val="97"/>
              </w:rPr>
              <w:t>Page 28</w:t>
            </w: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139700</wp:posOffset>
            </wp:positionH>
            <wp:positionV relativeFrom="page">
              <wp:posOffset>104140</wp:posOffset>
            </wp:positionV>
            <wp:extent cx="7074535" cy="307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74535" cy="307975"/>
                    </a:xfrm>
                    <a:prstGeom prst="rect">
                      <a:avLst/>
                    </a:prstGeom>
                    <a:noFill/>
                  </pic:spPr>
                </pic:pic>
              </a:graphicData>
            </a:graphic>
          </wp:anchor>
        </w:drawing>
        <w:t>MULTIFAMILY LEASING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07453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7453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003366"/>
        </w:rPr>
        <w:t>Lease Summary - Pacific Ridge Apartments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15240</wp:posOffset>
            </wp:positionV>
            <wp:extent cx="316928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5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6"/>
                <w:szCs w:val="16"/>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515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$27,482,316</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$4,448</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412</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$22,593,552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$4,570</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$26,008,200</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$4,249</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523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98.1%</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$24,977,172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$3,981</w:t>
            </w:r>
          </w:p>
        </w:tc>
        <w:tc>
          <w:tcPr>
            <w:tcW w:w="0" w:type="dxa"/>
            <w:vAlign w:val="bottom"/>
          </w:tcPr>
          <w:p>
            <w:pPr>
              <w:spacing w:after="0"/>
              <w:rPr>
                <w:sz w:val="1"/>
                <w:szCs w:val="1"/>
                <w:color w:val="auto"/>
              </w:rPr>
            </w:pPr>
          </w:p>
        </w:tc>
      </w:tr>
      <w:tr>
        <w:trPr>
          <w:trHeight w:val="259"/>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Genesee Park</w:t>
            </w:r>
          </w:p>
        </w:tc>
        <w:tc>
          <w:tcPr>
            <w:tcW w:w="1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8"/>
                <w:szCs w:val="18"/>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003366"/>
                <w:w w:val="97"/>
              </w:rPr>
              <w:t xml:space="preserve">Annualized Base Rent </w:t>
            </w:r>
            <w:r>
              <w:rPr>
                <w:rFonts w:ascii="Times New Roman" w:cs="Times New Roman" w:eastAsia="Times New Roman" w:hAnsi="Times New Roman"/>
                <w:sz w:val="20"/>
                <w:szCs w:val="20"/>
                <w:b w:val="1"/>
                <w:bCs w:val="1"/>
                <w:color w:val="003366"/>
                <w:w w:val="97"/>
                <w:vertAlign w:val="superscript"/>
              </w:rPr>
              <w:t>(2)</w:t>
            </w:r>
          </w:p>
        </w:tc>
        <w:tc>
          <w:tcPr>
            <w:tcW w:w="80" w:type="dxa"/>
            <w:vAlign w:val="bottom"/>
            <w:vMerge w:val="restart"/>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186</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$5,354,472</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$2,398</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187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$5,351,148</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$2,385</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189</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$5,018,676</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$2,214</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186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$4,878,144</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$2,185</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003366"/>
        </w:rPr>
        <w:t xml:space="preserve">Lease Summary - Hassalo on Eighth - Multifamily </w:t>
      </w:r>
      <w:r>
        <w:rPr>
          <w:rFonts w:ascii="Times New Roman" w:cs="Times New Roman" w:eastAsia="Times New Roman" w:hAnsi="Times New Roman"/>
          <w:sz w:val="20"/>
          <w:szCs w:val="20"/>
          <w:b w:val="1"/>
          <w:bCs w:val="1"/>
          <w:color w:val="003366"/>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-12065</wp:posOffset>
            </wp:positionV>
            <wp:extent cx="31692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6"/>
              </w:rPr>
              <w:t xml:space="preserve">Annualized Base Rent </w:t>
            </w:r>
            <w:r>
              <w:rPr>
                <w:rFonts w:ascii="Times New Roman" w:cs="Times New Roman" w:eastAsia="Times New Roman" w:hAnsi="Times New Roman"/>
                <w:sz w:val="20"/>
                <w:szCs w:val="20"/>
                <w:b w:val="1"/>
                <w:bCs w:val="1"/>
                <w:color w:val="003366"/>
                <w:w w:val="96"/>
                <w:vertAlign w:val="superscript"/>
              </w:rPr>
              <w:t>(2)</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78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480" w:type="dxa"/>
            <w:vAlign w:val="bottom"/>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0" w:type="dxa"/>
            <w:vAlign w:val="bottom"/>
          </w:tcPr>
          <w:p>
            <w:pPr>
              <w:spacing w:after="0"/>
              <w:rPr>
                <w:sz w:val="1"/>
                <w:szCs w:val="1"/>
                <w:color w:val="auto"/>
              </w:rPr>
            </w:pPr>
          </w:p>
        </w:tc>
      </w:tr>
      <w:tr>
        <w:trPr>
          <w:trHeight w:val="205"/>
        </w:trPr>
        <w:tc>
          <w:tcPr>
            <w:tcW w:w="1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tcBorders>
              <w:top w:val="single" w:sz="8" w:color="auto"/>
            </w:tcBorders>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598</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$11,927,160</w:t>
            </w:r>
          </w:p>
        </w:tc>
        <w:tc>
          <w:tcPr>
            <w:tcW w:w="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$1,662</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573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$11,800,812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$1,717</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605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$12,109,044</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$1,668</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585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$11,814,288</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$1,684</w:t>
            </w:r>
          </w:p>
        </w:tc>
        <w:tc>
          <w:tcPr>
            <w:tcW w:w="0" w:type="dxa"/>
            <w:vAlign w:val="bottom"/>
          </w:tcPr>
          <w:p>
            <w:pPr>
              <w:spacing w:after="0"/>
              <w:rPr>
                <w:sz w:val="1"/>
                <w:szCs w:val="1"/>
                <w:color w:val="auto"/>
              </w:rPr>
            </w:pPr>
          </w:p>
        </w:tc>
      </w:tr>
      <w:tr>
        <w:trPr>
          <w:trHeight w:val="259"/>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Total Multifamily Lease Summary</w:t>
            </w:r>
          </w:p>
        </w:tc>
        <w:tc>
          <w:tcPr>
            <w:tcW w:w="1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003366"/>
                <w:w w:val="99"/>
              </w:rPr>
              <w:t>Number of Occupied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Percentage occupied </w:t>
            </w:r>
            <w:r>
              <w:rPr>
                <w:rFonts w:ascii="Times New Roman" w:cs="Times New Roman" w:eastAsia="Times New Roman" w:hAnsi="Times New Roman"/>
                <w:sz w:val="20"/>
                <w:szCs w:val="20"/>
                <w:b w:val="1"/>
                <w:bCs w:val="1"/>
                <w:color w:val="003366"/>
                <w:w w:val="96"/>
                <w:vertAlign w:val="superscript"/>
              </w:rPr>
              <w:t>(1)</w:t>
            </w:r>
          </w:p>
        </w:tc>
        <w:tc>
          <w:tcPr>
            <w:tcW w:w="80" w:type="dxa"/>
            <w:vAlign w:val="bottom"/>
            <w:vMerge w:val="restart"/>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Annualized Base Rent </w:t>
            </w:r>
            <w:r>
              <w:rPr>
                <w:rFonts w:ascii="Times New Roman" w:cs="Times New Roman" w:eastAsia="Times New Roman" w:hAnsi="Times New Roman"/>
                <w:sz w:val="20"/>
                <w:szCs w:val="20"/>
                <w:b w:val="1"/>
                <w:bCs w:val="1"/>
                <w:color w:val="003366"/>
                <w:w w:val="96"/>
                <w:vertAlign w:val="superscript"/>
              </w:rPr>
              <w:t>(2)</w:t>
            </w:r>
          </w:p>
        </w:tc>
        <w:tc>
          <w:tcPr>
            <w:tcW w:w="80" w:type="dxa"/>
            <w:vAlign w:val="bottom"/>
            <w:vMerge w:val="restart"/>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Average Monthly Base Rent per</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2"/>
              </w:rPr>
              <w:t xml:space="preserve">Units </w:t>
            </w:r>
            <w:r>
              <w:rPr>
                <w:rFonts w:ascii="Times New Roman" w:cs="Times New Roman" w:eastAsia="Times New Roman" w:hAnsi="Times New Roman"/>
                <w:sz w:val="20"/>
                <w:szCs w:val="20"/>
                <w:b w:val="1"/>
                <w:bCs w:val="1"/>
                <w:color w:val="003366"/>
                <w:w w:val="92"/>
                <w:vertAlign w:val="superscript"/>
              </w:rPr>
              <w:t>(1)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Occupied Unit </w:t>
            </w:r>
            <w:r>
              <w:rPr>
                <w:rFonts w:ascii="Times New Roman" w:cs="Times New Roman" w:eastAsia="Times New Roman" w:hAnsi="Times New Roman"/>
                <w:sz w:val="20"/>
                <w:szCs w:val="20"/>
                <w:b w:val="1"/>
                <w:bCs w:val="1"/>
                <w:color w:val="003366"/>
                <w:w w:val="94"/>
                <w:vertAlign w:val="superscript"/>
              </w:rPr>
              <w:t>(3)</w:t>
            </w: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2,128</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$71,872,056</w:t>
            </w: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$2,816</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2,018</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$67,242,612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$2,776</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2,120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$70,120,140</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$2,756</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2,097</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$67,547,640</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$2,684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Notes:</w:t>
      </w:r>
    </w:p>
    <w:p>
      <w:pPr>
        <w:spacing w:after="0" w:line="16" w:lineRule="exact"/>
        <w:rPr>
          <w:sz w:val="20"/>
          <w:szCs w:val="20"/>
          <w:color w:val="auto"/>
        </w:rPr>
      </w:pPr>
    </w:p>
    <w:p>
      <w:pPr>
        <w:ind w:left="340" w:hanging="245"/>
        <w:spacing w:after="0"/>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Number of occupied units and percentage occupancy for our multifamily properties includes total units rented and occupied as of each respective quarter end date.</w:t>
      </w:r>
    </w:p>
    <w:p>
      <w:pPr>
        <w:spacing w:after="0" w:line="7" w:lineRule="exact"/>
        <w:rPr>
          <w:rFonts w:ascii="Times New Roman" w:cs="Times New Roman" w:eastAsia="Times New Roman" w:hAnsi="Times New Roman"/>
          <w:sz w:val="11"/>
          <w:szCs w:val="11"/>
          <w:color w:val="auto"/>
        </w:rPr>
      </w:pPr>
    </w:p>
    <w:p>
      <w:pPr>
        <w:ind w:left="340" w:hanging="245"/>
        <w:spacing w:after="0"/>
        <w:tabs>
          <w:tab w:leader="none" w:pos="3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is calculated by multiplying base rental payments (defined as cash base rents (before abatements)) as of each respective quarter end date.</w:t>
      </w:r>
    </w:p>
    <w:p>
      <w:pPr>
        <w:spacing w:after="0" w:line="3" w:lineRule="exact"/>
        <w:rPr>
          <w:rFonts w:ascii="Times New Roman" w:cs="Times New Roman" w:eastAsia="Times New Roman" w:hAnsi="Times New Roman"/>
          <w:sz w:val="12"/>
          <w:szCs w:val="12"/>
          <w:color w:val="auto"/>
        </w:rPr>
      </w:pPr>
    </w:p>
    <w:p>
      <w:pPr>
        <w:ind w:left="340" w:hanging="245"/>
        <w:spacing w:after="0"/>
        <w:tabs>
          <w:tab w:leader="none" w:pos="3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occupied unit is calculated by dividing annualized base rent, by units occupied as of each respective quarter end date.</w:t>
      </w:r>
    </w:p>
    <w:p>
      <w:pPr>
        <w:spacing w:after="0" w:line="3" w:lineRule="exact"/>
        <w:rPr>
          <w:rFonts w:ascii="Times New Roman" w:cs="Times New Roman" w:eastAsia="Times New Roman" w:hAnsi="Times New Roman"/>
          <w:sz w:val="12"/>
          <w:szCs w:val="12"/>
          <w:color w:val="auto"/>
        </w:rPr>
      </w:pPr>
    </w:p>
    <w:p>
      <w:pPr>
        <w:ind w:left="340" w:hanging="245"/>
        <w:spacing w:after="0"/>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Hassalo on Eighth - Multifamily includes three residential buildings: Velomor, Aster Tower, and Elwood.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264795</wp:posOffset>
            </wp:positionV>
            <wp:extent cx="714184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tabs>
          <w:tab w:leader="none" w:pos="108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29</w:t>
      </w:r>
    </w:p>
    <w:p>
      <w:pPr>
        <w:sectPr>
          <w:pgSz w:w="11900" w:h="16838" w:orient="portrait"/>
          <w:cols w:equalWidth="0" w:num="1">
            <w:col w:w="11320"/>
          </w:cols>
          <w:pgMar w:left="220" w:top="401" w:right="359" w:bottom="1440" w:gutter="0" w:footer="0" w:header="0"/>
        </w:sectPr>
      </w:pPr>
    </w:p>
    <w:bookmarkStart w:id="41" w:name="page42"/>
    <w:bookmarkEnd w:id="41"/>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MIXED-USE LEASING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2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Lease Summary - Retail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16928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28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003366"/>
                <w:w w:val="98"/>
              </w:rPr>
              <w:t>Number of Leased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5"/>
              </w:rPr>
              <w:t xml:space="preserve">Percentage leased </w:t>
            </w:r>
            <w:r>
              <w:rPr>
                <w:rFonts w:ascii="Times New Roman" w:cs="Times New Roman" w:eastAsia="Times New Roman" w:hAnsi="Times New Roman"/>
                <w:sz w:val="20"/>
                <w:szCs w:val="20"/>
                <w:b w:val="1"/>
                <w:bCs w:val="1"/>
                <w:color w:val="003366"/>
                <w:w w:val="95"/>
                <w:vertAlign w:val="superscript"/>
              </w:rPr>
              <w:t>(1)</w:t>
            </w:r>
          </w:p>
        </w:tc>
        <w:tc>
          <w:tcPr>
            <w:tcW w:w="80" w:type="dxa"/>
            <w:vAlign w:val="bottom"/>
            <w:vMerge w:val="restart"/>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Annualized Base Rent </w:t>
            </w:r>
            <w:r>
              <w:rPr>
                <w:rFonts w:ascii="Times New Roman" w:cs="Times New Roman" w:eastAsia="Times New Roman" w:hAnsi="Times New Roman"/>
                <w:sz w:val="20"/>
                <w:szCs w:val="20"/>
                <w:b w:val="1"/>
                <w:bCs w:val="1"/>
                <w:color w:val="003366"/>
                <w:w w:val="96"/>
                <w:vertAlign w:val="superscript"/>
              </w:rPr>
              <w:t>(2)</w:t>
            </w:r>
          </w:p>
        </w:tc>
        <w:tc>
          <w:tcPr>
            <w:tcW w:w="80" w:type="dxa"/>
            <w:vAlign w:val="bottom"/>
            <w:vMerge w:val="restart"/>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Annualized Base Rent per Leased</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9"/>
              </w:rPr>
              <w:t>Square Feet</w:t>
            </w:r>
          </w:p>
        </w:tc>
        <w:tc>
          <w:tcPr>
            <w:tcW w:w="100" w:type="dxa"/>
            <w:vAlign w:val="bottom"/>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003366"/>
                <w:w w:val="94"/>
              </w:rPr>
              <w:t xml:space="preserve">Square Foot </w:t>
            </w:r>
            <w:r>
              <w:rPr>
                <w:rFonts w:ascii="Times New Roman" w:cs="Times New Roman" w:eastAsia="Times New Roman" w:hAnsi="Times New Roman"/>
                <w:sz w:val="20"/>
                <w:szCs w:val="20"/>
                <w:b w:val="1"/>
                <w:bCs w:val="1"/>
                <w:color w:val="003366"/>
                <w:w w:val="94"/>
                <w:vertAlign w:val="superscript"/>
              </w:rPr>
              <w:t>(3)</w:t>
            </w:r>
          </w:p>
        </w:tc>
        <w:tc>
          <w:tcPr>
            <w:tcW w:w="0" w:type="dxa"/>
            <w:vAlign w:val="bottom"/>
          </w:tcPr>
          <w:p>
            <w:pPr>
              <w:spacing w:after="0"/>
              <w:rPr>
                <w:sz w:val="1"/>
                <w:szCs w:val="1"/>
                <w:color w:val="auto"/>
              </w:rPr>
            </w:pPr>
          </w:p>
        </w:tc>
      </w:tr>
      <w:tr>
        <w:trPr>
          <w:trHeight w:val="205"/>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88,048</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93.7%</w:t>
            </w:r>
          </w:p>
        </w:tc>
        <w:tc>
          <w:tcPr>
            <w:tcW w:w="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$9,502,756</w:t>
            </w:r>
          </w:p>
        </w:tc>
        <w:tc>
          <w:tcPr>
            <w:tcW w:w="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86,626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$9,424,918</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90,346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96.2%</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$9,975,837</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90,346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96.2%</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$9,628,291</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438"/>
        </w:trPr>
        <w:tc>
          <w:tcPr>
            <w:tcW w:w="3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003366"/>
              </w:rPr>
              <w:t>Lease Summary - Hotel Portion</w:t>
            </w:r>
          </w:p>
        </w:tc>
        <w:tc>
          <w:tcPr>
            <w:tcW w:w="1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003366"/>
              </w:rPr>
              <w:t>Quarter</w:t>
            </w: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003366"/>
                <w:w w:val="98"/>
              </w:rPr>
              <w:t>Number of Leased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5"/>
              </w:rPr>
              <w:t xml:space="preserve">Average Occupancy </w:t>
            </w:r>
            <w:r>
              <w:rPr>
                <w:rFonts w:ascii="Times New Roman" w:cs="Times New Roman" w:eastAsia="Times New Roman" w:hAnsi="Times New Roman"/>
                <w:sz w:val="20"/>
                <w:szCs w:val="20"/>
                <w:b w:val="1"/>
                <w:bCs w:val="1"/>
                <w:color w:val="003366"/>
                <w:w w:val="95"/>
                <w:vertAlign w:val="superscript"/>
              </w:rPr>
              <w:t>(4)</w:t>
            </w:r>
          </w:p>
        </w:tc>
        <w:tc>
          <w:tcPr>
            <w:tcW w:w="80" w:type="dxa"/>
            <w:vAlign w:val="bottom"/>
            <w:vMerge w:val="restart"/>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5"/>
              </w:rPr>
              <w:t xml:space="preserve">Average Daily Rate </w:t>
            </w:r>
            <w:r>
              <w:rPr>
                <w:rFonts w:ascii="Times New Roman" w:cs="Times New Roman" w:eastAsia="Times New Roman" w:hAnsi="Times New Roman"/>
                <w:sz w:val="20"/>
                <w:szCs w:val="20"/>
                <w:b w:val="1"/>
                <w:bCs w:val="1"/>
                <w:color w:val="003366"/>
                <w:w w:val="95"/>
                <w:vertAlign w:val="superscript"/>
              </w:rPr>
              <w:t>(4)</w:t>
            </w:r>
          </w:p>
        </w:tc>
        <w:tc>
          <w:tcPr>
            <w:tcW w:w="80" w:type="dxa"/>
            <w:vAlign w:val="bottom"/>
            <w:vMerge w:val="restart"/>
          </w:tcPr>
          <w:p>
            <w:pPr>
              <w:spacing w:after="0"/>
              <w:rPr>
                <w:sz w:val="18"/>
                <w:szCs w:val="18"/>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3366"/>
                <w:w w:val="96"/>
              </w:rPr>
              <w:t xml:space="preserve">Revenue per Available Room </w:t>
            </w:r>
            <w:r>
              <w:rPr>
                <w:rFonts w:ascii="Times New Roman" w:cs="Times New Roman" w:eastAsia="Times New Roman" w:hAnsi="Times New Roman"/>
                <w:sz w:val="20"/>
                <w:szCs w:val="20"/>
                <w:b w:val="1"/>
                <w:bCs w:val="1"/>
                <w:color w:val="003366"/>
                <w:w w:val="96"/>
                <w:vertAlign w:val="superscript"/>
              </w:rPr>
              <w:t>(4)</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003366"/>
                <w:w w:val="98"/>
              </w:rPr>
              <w:t>Units</w:t>
            </w:r>
          </w:p>
        </w:tc>
        <w:tc>
          <w:tcPr>
            <w:tcW w:w="100" w:type="dxa"/>
            <w:vAlign w:val="bottom"/>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3rd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327</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$381</w:t>
            </w:r>
          </w:p>
        </w:tc>
        <w:tc>
          <w:tcPr>
            <w:tcW w:w="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Quarter 2026</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334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$340</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$308</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1st Quarter 2026</w:t>
            </w:r>
          </w:p>
        </w:tc>
        <w:tc>
          <w:tcPr>
            <w:tcW w:w="16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339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$332</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4th Quarter 2025</w:t>
            </w:r>
          </w:p>
        </w:tc>
        <w:tc>
          <w:tcPr>
            <w:tcW w:w="16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298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$352</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265" w:hanging="265"/>
        <w:spacing w:after="0"/>
        <w:tabs>
          <w:tab w:leader="none" w:pos="26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leased for mixed-use property includes square footage under leases as of September 30, 2026, including leases which may not have commenced as of September 30, 2026.</w:t>
      </w:r>
    </w:p>
    <w:p>
      <w:pPr>
        <w:spacing w:after="0" w:line="4" w:lineRule="exact"/>
        <w:rPr>
          <w:rFonts w:ascii="Times New Roman" w:cs="Times New Roman" w:eastAsia="Times New Roman" w:hAnsi="Times New Roman"/>
          <w:sz w:val="13"/>
          <w:szCs w:val="13"/>
          <w:color w:val="auto"/>
        </w:rPr>
      </w:pPr>
    </w:p>
    <w:p>
      <w:pPr>
        <w:ind w:left="285" w:right="20" w:hanging="285"/>
        <w:spacing w:after="0" w:line="246" w:lineRule="auto"/>
        <w:tabs>
          <w:tab w:leader="none" w:pos="26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base rent is calculated by multiplying base rental payments (defined as cash base rents (before abatements)) for the month ended September 30, 2026 by 12. In the case of triple net or modified gross leases, annualized base rent does not include tenant reimbursements for real estate taxes, insurance, common area or other operating expenses.</w:t>
      </w:r>
    </w:p>
    <w:p>
      <w:pPr>
        <w:spacing w:after="0" w:line="1"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base rent per leased square foot is calculated by dividing annualized base rent, by square footage under lease as of September 30, 2026.</w:t>
      </w:r>
    </w:p>
    <w:p>
      <w:pPr>
        <w:ind w:left="285" w:hanging="285"/>
        <w:spacing w:after="0" w:line="242" w:lineRule="auto"/>
        <w:tabs>
          <w:tab w:leader="none" w:pos="26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occupancy represents the percentage of available units that were sold during the three months ended September 30, 2026,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each respective quarter period by the number of units sold. Revenue per available room, or RevPAR, represents the total unit revenue per total available units for each respective quarter period and is calculated by multiplying average occupancy by the average daily rate. RevPAR does not include food and beverage revenues or other hotel operations revenues such as telephone, parking and other guest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184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9"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30</w:t>
      </w:r>
    </w:p>
    <w:p>
      <w:pPr>
        <w:sectPr>
          <w:pgSz w:w="11900" w:h="16838" w:orient="portrait"/>
          <w:cols w:equalWidth="0" w:num="1">
            <w:col w:w="11245"/>
          </w:cols>
          <w:pgMar w:left="315" w:top="401"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03366"/>
        </w:rPr>
        <w:t>As of September 30,</w:t>
      </w:r>
    </w:p>
    <w:p>
      <w:pPr>
        <w:ind w:left="20"/>
        <w:spacing w:after="0"/>
        <w:rPr>
          <w:sz w:val="20"/>
          <w:szCs w:val="20"/>
          <w:color w:val="auto"/>
        </w:rPr>
      </w:pPr>
      <w:r>
        <w:rPr>
          <w:rFonts w:ascii="Times New Roman" w:cs="Times New Roman" w:eastAsia="Times New Roman" w:hAnsi="Times New Roman"/>
          <w:sz w:val="16"/>
          <w:szCs w:val="16"/>
          <w:b w:val="1"/>
          <w:bCs w:val="1"/>
          <w:color w:val="003366"/>
        </w:rPr>
        <w:t>2026</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003366"/>
              </w:rPr>
              <w:t>Office</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003366"/>
              </w:rPr>
              <w:t>Retail</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1D3F85"/>
              </w:rPr>
              <w:t>Mixed-Use (Retail Portion Only)</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1D3F85"/>
              </w:rPr>
              <w:t>Total</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rPr>
              <w:t>% of</w:t>
            </w:r>
          </w:p>
        </w:tc>
        <w:tc>
          <w:tcPr>
            <w:tcW w:w="8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Office</w:t>
            </w:r>
          </w:p>
        </w:tc>
        <w:tc>
          <w:tcPr>
            <w:tcW w:w="80" w:type="dxa"/>
            <w:vAlign w:val="bottom"/>
          </w:tcPr>
          <w:p>
            <w:pPr>
              <w:spacing w:after="0"/>
              <w:rPr>
                <w:sz w:val="13"/>
                <w:szCs w:val="13"/>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Retail</w:t>
            </w:r>
          </w:p>
        </w:tc>
        <w:tc>
          <w:tcPr>
            <w:tcW w:w="8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Mixed-</w:t>
            </w:r>
          </w:p>
        </w:tc>
        <w:tc>
          <w:tcPr>
            <w:tcW w:w="80" w:type="dxa"/>
            <w:vAlign w:val="bottom"/>
          </w:tcPr>
          <w:p>
            <w:pPr>
              <w:spacing w:after="0"/>
              <w:rPr>
                <w:sz w:val="13"/>
                <w:szCs w:val="13"/>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Use</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1D3F85"/>
              </w:rPr>
              <w:t>Year</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Month to</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80,279</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0.69</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12,992</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46.16</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46.24</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100,648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174"/>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Month</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152,215</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3.6</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158,380</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45.41</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320,139</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7.5</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54.25</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205,543</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8.5</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6.2</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531,489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47.54</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542,366</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12.7</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61.51</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490,465</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18,497</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19.7</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1,051,328</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925,753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21.7</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68.36</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338,451</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14.0</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14.1</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148.13</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1,277,403</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60.02</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394,935</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9.2</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187,729</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7.8</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17,384</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18.5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600,048</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315,916</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13.1</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18.2</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122.94</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644,050</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47.88</w:t>
            </w:r>
          </w:p>
        </w:tc>
        <w:tc>
          <w:tcPr>
            <w:tcW w:w="0" w:type="dxa"/>
            <w:vAlign w:val="bottom"/>
          </w:tcPr>
          <w:p>
            <w:pPr>
              <w:spacing w:after="0"/>
              <w:rPr>
                <w:sz w:val="1"/>
                <w:szCs w:val="1"/>
                <w:color w:val="auto"/>
              </w:rPr>
            </w:pPr>
          </w:p>
        </w:tc>
      </w:tr>
      <w:tr>
        <w:trPr>
          <w:trHeight w:val="192"/>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150,621</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199,644</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8.2</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350,265</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162,347</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55.51</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162,898</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325,245</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40.34</w:t>
            </w: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169,180</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119,699</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289,852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81,005</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112,833</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193,838</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33.68</w:t>
            </w:r>
          </w:p>
        </w:tc>
        <w:tc>
          <w:tcPr>
            <w:tcW w:w="0" w:type="dxa"/>
            <w:vAlign w:val="bottom"/>
          </w:tcPr>
          <w:p>
            <w:pPr>
              <w:spacing w:after="0"/>
              <w:rPr>
                <w:sz w:val="1"/>
                <w:szCs w:val="1"/>
                <w:color w:val="auto"/>
              </w:rPr>
            </w:pPr>
          </w:p>
        </w:tc>
      </w:tr>
      <w:tr>
        <w:trPr>
          <w:trHeight w:val="19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169,611</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210,349</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8.7</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28.67</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385,590</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Signed Leases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209,357</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56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5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226,597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Commenced</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604,867</w:t>
            </w:r>
          </w:p>
        </w:tc>
        <w:tc>
          <w:tcPr>
            <w:tcW w:w="8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42,092</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652,836</w:t>
            </w:r>
          </w:p>
        </w:tc>
        <w:tc>
          <w:tcPr>
            <w:tcW w:w="80" w:type="dxa"/>
            <w:vAlign w:val="bottom"/>
          </w:tcPr>
          <w:p>
            <w:pPr>
              <w:spacing w:after="0"/>
              <w:rPr>
                <w:sz w:val="16"/>
                <w:szCs w:val="16"/>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920" w:type="dxa"/>
            <w:vAlign w:val="bottom"/>
            <w:tcBorders>
              <w:bottom w:val="single" w:sz="8" w:color="CCEEFF"/>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Total </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45.92</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29.78</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101.17</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6,787,569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40.93</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003366"/>
              </w:rPr>
              <w:t>Office</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003366"/>
              </w:rPr>
              <w:t>Retail</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1D3F85"/>
              </w:rPr>
              <w:t>Mixed-Use (Retail Portion Only)</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1D3F85"/>
              </w:rPr>
              <w:t>Total</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rPr>
              <w:t>% of</w:t>
            </w:r>
          </w:p>
        </w:tc>
        <w:tc>
          <w:tcPr>
            <w:tcW w:w="8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 of</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7"/>
              </w:rPr>
              <w:t>Annualized</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Office</w:t>
            </w:r>
          </w:p>
        </w:tc>
        <w:tc>
          <w:tcPr>
            <w:tcW w:w="80" w:type="dxa"/>
            <w:vAlign w:val="bottom"/>
          </w:tcPr>
          <w:p>
            <w:pPr>
              <w:spacing w:after="0"/>
              <w:rPr>
                <w:sz w:val="13"/>
                <w:szCs w:val="13"/>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96"/>
              </w:rPr>
              <w:t>Retail</w:t>
            </w:r>
          </w:p>
        </w:tc>
        <w:tc>
          <w:tcPr>
            <w:tcW w:w="8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5"/>
              </w:rPr>
              <w:t>Mixed-</w:t>
            </w:r>
          </w:p>
        </w:tc>
        <w:tc>
          <w:tcPr>
            <w:tcW w:w="80" w:type="dxa"/>
            <w:vAlign w:val="bottom"/>
          </w:tcPr>
          <w:p>
            <w:pPr>
              <w:spacing w:after="0"/>
              <w:rPr>
                <w:sz w:val="13"/>
                <w:szCs w:val="13"/>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1D3F85"/>
                <w:w w:val="94"/>
              </w:rPr>
              <w:t>Total</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1D3F85"/>
              </w:rPr>
              <w:t>Expiring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D3F85"/>
                <w:w w:val="87"/>
              </w:rPr>
              <w:t>Total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1D3F85"/>
                <w:w w:val="96"/>
              </w:rPr>
              <w:t>Base Rent</w:t>
            </w: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Use</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1D3F85"/>
              </w:rPr>
              <w:t>Year</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8"/>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4"/>
              </w:rPr>
              <w:t>Per Sq. Ft.</w:t>
            </w:r>
            <w:r>
              <w:rPr>
                <w:rFonts w:ascii="Times New Roman" w:cs="Times New Roman" w:eastAsia="Times New Roman" w:hAnsi="Times New Roman"/>
                <w:sz w:val="16"/>
                <w:szCs w:val="16"/>
                <w:b w:val="1"/>
                <w:bCs w:val="1"/>
                <w:color w:val="1D3F85"/>
                <w:w w:val="94"/>
                <w:vertAlign w:val="superscript"/>
              </w:rPr>
              <w:t>(1)</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1D3F85"/>
              </w:rPr>
              <w:t>Sq. Ft.</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D3F85"/>
                <w:w w:val="93"/>
              </w:rPr>
              <w:t>Sq. Ft.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1D3F85"/>
                <w:w w:val="92"/>
              </w:rPr>
              <w:t>Per Sq. Ft.</w:t>
            </w:r>
            <w:r>
              <w:rPr>
                <w:rFonts w:ascii="Times New Roman" w:cs="Times New Roman" w:eastAsia="Times New Roman" w:hAnsi="Times New Roman"/>
                <w:sz w:val="16"/>
                <w:szCs w:val="16"/>
                <w:b w:val="1"/>
                <w:bCs w:val="1"/>
                <w:color w:val="1D3F85"/>
                <w:w w:val="92"/>
                <w:vertAlign w:val="superscript"/>
              </w:rPr>
              <w:t>(1)</w:t>
            </w: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Month to</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80,279</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0.69</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12,992</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46.16</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46.24</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100,648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174"/>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Month</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50,582</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54,112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123,664</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77,151</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148.51</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205,361</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105,498</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82,917</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199,998</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126,917</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5.2</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8.3</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183.34</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255,580</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w:t>
            </w: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248,632</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138,421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5.7</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390,699</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114,641</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116,739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18.2</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122.94</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248,514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260,472</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6.1</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98,057</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4.1</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359,440</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349,503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8.2</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101,260</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7.4</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164.90</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457,677</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w:t>
            </w:r>
          </w:p>
        </w:tc>
        <w:tc>
          <w:tcPr>
            <w:tcW w:w="0" w:type="dxa"/>
            <w:vAlign w:val="bottom"/>
          </w:tcPr>
          <w:p>
            <w:pPr>
              <w:spacing w:after="0"/>
              <w:rPr>
                <w:sz w:val="1"/>
                <w:szCs w:val="1"/>
                <w:color w:val="auto"/>
              </w:rPr>
            </w:pPr>
          </w:p>
        </w:tc>
      </w:tr>
      <w:tr>
        <w:trPr>
          <w:trHeight w:val="168"/>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147,205</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228,071</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9.4</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380,678</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103,996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37,875</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43.22</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14,088</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56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80.36</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155,959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0" w:type="dxa"/>
            <w:vAlign w:val="bottom"/>
          </w:tcPr>
          <w:p>
            <w:pPr>
              <w:spacing w:after="0"/>
              <w:rPr>
                <w:sz w:val="1"/>
                <w:szCs w:val="1"/>
                <w:color w:val="auto"/>
              </w:rPr>
            </w:pPr>
          </w:p>
        </w:tc>
      </w:tr>
      <w:tr>
        <w:trPr>
          <w:trHeight w:val="16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1,754,113</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41.0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1,338,754</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55.3</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3,099,470</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Signed Leases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209,357</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56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58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226,597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Commenced</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604,867</w:t>
            </w:r>
          </w:p>
        </w:tc>
        <w:tc>
          <w:tcPr>
            <w:tcW w:w="8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42,092</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6.3</w:t>
            </w:r>
          </w:p>
        </w:tc>
        <w:tc>
          <w:tcPr>
            <w:tcW w:w="5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652,836</w:t>
            </w: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920" w:type="dxa"/>
            <w:vAlign w:val="bottom"/>
            <w:tcBorders>
              <w:bottom w:val="single" w:sz="8" w:color="CCEEFF"/>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Total </w:t>
            </w:r>
            <w:r>
              <w:rPr>
                <w:rFonts w:ascii="Times New Roman" w:cs="Times New Roman" w:eastAsia="Times New Roman" w:hAnsi="Times New Roman"/>
                <w:sz w:val="16"/>
                <w:szCs w:val="16"/>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4,273,675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45.92</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2,419,969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29.78</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101.17</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6,787,569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40.93</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14184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31</w:t>
      </w:r>
    </w:p>
    <w:p>
      <w:pPr>
        <w:sectPr>
          <w:pgSz w:w="11900" w:h="16838" w:orient="portrait"/>
          <w:cols w:equalWidth="0" w:num="1">
            <w:col w:w="11260"/>
          </w:cols>
          <w:pgMar w:left="320" w:top="401" w:right="319" w:bottom="1440" w:gutter="0" w:footer="0" w:header="0"/>
        </w:sectPr>
      </w:pPr>
    </w:p>
    <w:bookmarkStart w:id="43" w:name="page44"/>
    <w:bookmarkEnd w:id="43"/>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300355"/>
                    </a:xfrm>
                    <a:prstGeom prst="rect">
                      <a:avLst/>
                    </a:prstGeom>
                    <a:noFill/>
                  </pic:spPr>
                </pic:pic>
              </a:graphicData>
            </a:graphic>
          </wp:anchor>
        </w:drawing>
        <w:t>LEASE EXPIRATIONS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15" w:lineRule="exact"/>
        <w:rPr>
          <w:sz w:val="20"/>
          <w:szCs w:val="20"/>
          <w:color w:val="auto"/>
        </w:rPr>
      </w:pPr>
    </w:p>
    <w:p>
      <w:pPr>
        <w:ind w:left="285" w:hanging="285"/>
        <w:spacing w:after="0" w:line="260" w:lineRule="auto"/>
        <w:tabs>
          <w:tab w:leader="none" w:pos="26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base rent per occupied square foot is calculated by dividing (i) annualized base rent for leases expiring during the applicable period, by (ii) square footage under such expiring leases. Annualized base rent is calculated by multiplying (i) base rental payments (defined as cash base rents (before abatements)) for the month ended September 30, 2026 for the leases expiring during the applicable period by (ii) 12 months.</w:t>
      </w:r>
    </w:p>
    <w:p>
      <w:pPr>
        <w:ind w:left="265" w:hanging="265"/>
        <w:spacing w:after="0"/>
        <w:tabs>
          <w:tab w:leader="none" w:pos="2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 items may not add up to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14184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32</w:t>
      </w:r>
    </w:p>
    <w:p>
      <w:pPr>
        <w:sectPr>
          <w:pgSz w:w="11900" w:h="16838" w:orient="portrait"/>
          <w:cols w:equalWidth="0" w:num="1">
            <w:col w:w="11245"/>
          </w:cols>
          <w:pgMar w:left="315" w:top="389" w:right="339" w:bottom="1440" w:gutter="0" w:footer="0" w:header="0"/>
        </w:sectPr>
      </w:pPr>
    </w:p>
    <w:bookmarkStart w:id="44" w:name="page45"/>
    <w:bookmarkEnd w:id="44"/>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PORTFOLIO LEASED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342265</wp:posOffset>
            </wp:positionV>
            <wp:extent cx="50012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01260" cy="762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003366"/>
                <w:w w:val="99"/>
              </w:rPr>
              <w:t>At September 30, 2026</w:t>
            </w:r>
          </w:p>
        </w:tc>
        <w:tc>
          <w:tcPr>
            <w:tcW w:w="1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1D3F85"/>
              </w:rPr>
              <w:t>At September 30, 2025</w:t>
            </w:r>
          </w:p>
        </w:tc>
        <w:tc>
          <w:tcPr>
            <w:tcW w:w="1080" w:type="dxa"/>
            <w:vAlign w:val="bottom"/>
            <w:tcBorders>
              <w:bottom w:val="single" w:sz="8" w:color="auto"/>
            </w:tcBorders>
          </w:tcPr>
          <w:p>
            <w:pPr>
              <w:spacing w:after="0"/>
              <w:rPr>
                <w:sz w:val="18"/>
                <w:szCs w:val="18"/>
                <w:color w:val="auto"/>
              </w:rPr>
            </w:pPr>
          </w:p>
        </w:tc>
      </w:tr>
      <w:tr>
        <w:trPr>
          <w:trHeight w:val="205"/>
        </w:trPr>
        <w:tc>
          <w:tcPr>
            <w:tcW w:w="33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1D3F85"/>
              </w:rPr>
              <w:t>Type</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1D3F85"/>
              </w:rPr>
              <w:t>Size</w:t>
            </w: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41"/>
              <w:spacing w:after="0" w:line="205" w:lineRule="exact"/>
              <w:rPr>
                <w:sz w:val="20"/>
                <w:szCs w:val="20"/>
                <w:color w:val="auto"/>
              </w:rPr>
            </w:pPr>
            <w:r>
              <w:rPr>
                <w:rFonts w:ascii="Times New Roman" w:cs="Times New Roman" w:eastAsia="Times New Roman" w:hAnsi="Times New Roman"/>
                <w:sz w:val="16"/>
                <w:szCs w:val="16"/>
                <w:b w:val="1"/>
                <w:bCs w:val="1"/>
                <w:color w:val="1D3F85"/>
              </w:rPr>
              <w:t xml:space="preserve">Leased </w:t>
            </w:r>
            <w:r>
              <w:rPr>
                <w:rFonts w:ascii="Times New Roman" w:cs="Times New Roman" w:eastAsia="Times New Roman" w:hAnsi="Times New Roman"/>
                <w:sz w:val="20"/>
                <w:szCs w:val="20"/>
                <w:b w:val="1"/>
                <w:bCs w:val="1"/>
                <w:color w:val="1D3F85"/>
                <w:vertAlign w:val="superscript"/>
              </w:rPr>
              <w:t>(1)</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1D3F85"/>
              </w:rPr>
              <w:t>Leased %</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1D3F85"/>
              </w:rPr>
              <w:t>Size</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1"/>
              <w:spacing w:after="0" w:line="205" w:lineRule="exact"/>
              <w:rPr>
                <w:sz w:val="20"/>
                <w:szCs w:val="20"/>
                <w:color w:val="auto"/>
              </w:rPr>
            </w:pPr>
            <w:r>
              <w:rPr>
                <w:rFonts w:ascii="Times New Roman" w:cs="Times New Roman" w:eastAsia="Times New Roman" w:hAnsi="Times New Roman"/>
                <w:sz w:val="16"/>
                <w:szCs w:val="16"/>
                <w:b w:val="1"/>
                <w:bCs w:val="1"/>
                <w:color w:val="1D3F85"/>
              </w:rPr>
              <w:t xml:space="preserve">Leased </w:t>
            </w:r>
            <w:r>
              <w:rPr>
                <w:rFonts w:ascii="Times New Roman" w:cs="Times New Roman" w:eastAsia="Times New Roman" w:hAnsi="Times New Roman"/>
                <w:sz w:val="20"/>
                <w:szCs w:val="20"/>
                <w:b w:val="1"/>
                <w:bCs w:val="1"/>
                <w:color w:val="1D3F85"/>
                <w:vertAlign w:val="superscript"/>
              </w:rPr>
              <w:t>(1)</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1D3F85"/>
              </w:rPr>
              <w:t>Leased %</w:t>
            </w:r>
          </w:p>
        </w:tc>
      </w:tr>
      <w:tr>
        <w:trPr>
          <w:trHeight w:val="205"/>
        </w:trPr>
        <w:tc>
          <w:tcPr>
            <w:tcW w:w="33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Overall Portfolio</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Statistics</w:t>
            </w: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Office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4,273,675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3,668,808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2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4,283,607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3,506,419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81.9 %</w:t>
            </w:r>
          </w:p>
        </w:tc>
      </w:tr>
      <w:tr>
        <w:trPr>
          <w:trHeight w:val="213"/>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Retail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2,419,969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2,377,877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2,420,247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2,370,501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97.9 %</w:t>
            </w:r>
          </w:p>
        </w:tc>
      </w:tr>
      <w:tr>
        <w:trPr>
          <w:trHeight w:val="213"/>
        </w:trPr>
        <w:tc>
          <w:tcPr>
            <w:tcW w:w="338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Multifamily Properties (units) </w:t>
            </w:r>
            <w:r>
              <w:rPr>
                <w:rFonts w:ascii="Times New Roman" w:cs="Times New Roman" w:eastAsia="Times New Roman" w:hAnsi="Times New Roman"/>
                <w:sz w:val="20"/>
                <w:szCs w:val="20"/>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94.2 %</w:t>
            </w:r>
          </w:p>
        </w:tc>
        <w:tc>
          <w:tcPr>
            <w:tcW w:w="2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91.5 %</w:t>
            </w:r>
          </w:p>
        </w:tc>
      </w:tr>
      <w:tr>
        <w:trPr>
          <w:trHeight w:val="213"/>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Mixed-Use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95.0 %</w:t>
            </w:r>
          </w:p>
        </w:tc>
      </w:tr>
      <w:tr>
        <w:trPr>
          <w:trHeight w:val="213"/>
        </w:trPr>
        <w:tc>
          <w:tcPr>
            <w:tcW w:w="338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Mixed-Use Properties (units) </w:t>
            </w:r>
            <w:r>
              <w:rPr>
                <w:rFonts w:ascii="Times New Roman" w:cs="Times New Roman" w:eastAsia="Times New Roman" w:hAnsi="Times New Roman"/>
                <w:sz w:val="20"/>
                <w:szCs w:val="20"/>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c>
          <w:tcPr>
            <w:tcW w:w="2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82.9 %</w:t>
            </w:r>
          </w:p>
        </w:tc>
      </w:tr>
      <w:tr>
        <w:trPr>
          <w:trHeight w:val="237"/>
        </w:trPr>
        <w:tc>
          <w:tcPr>
            <w:tcW w:w="3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3"/>
        </w:trPr>
        <w:tc>
          <w:tcPr>
            <w:tcW w:w="33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Same-Store</w:t>
            </w:r>
            <w:r>
              <w:rPr>
                <w:rFonts w:ascii="Times New Roman" w:cs="Times New Roman" w:eastAsia="Times New Roman" w:hAnsi="Times New Roman"/>
                <w:sz w:val="20"/>
                <w:szCs w:val="20"/>
                <w:b w:val="1"/>
                <w:bCs w:val="1"/>
                <w:color w:val="auto"/>
                <w:vertAlign w:val="superscript"/>
              </w:rPr>
              <w:t>(2) (5)</w:t>
            </w:r>
            <w:r>
              <w:rPr>
                <w:rFonts w:ascii="Times New Roman" w:cs="Times New Roman" w:eastAsia="Times New Roman" w:hAnsi="Times New Roman"/>
                <w:sz w:val="16"/>
                <w:szCs w:val="16"/>
                <w:b w:val="1"/>
                <w:bCs w:val="1"/>
                <w:color w:val="auto"/>
              </w:rPr>
              <w:t xml:space="preserve"> Statistics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 Properties (square feet)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4,273,675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3,668,808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4,283,607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3,506,419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81.9 %</w:t>
            </w: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Retail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2,419,969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2,377,877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98.3 %</w:t>
            </w:r>
          </w:p>
        </w:tc>
        <w:tc>
          <w:tcPr>
            <w:tcW w:w="2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2,420,247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2,370,501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97.9 %</w:t>
            </w:r>
          </w:p>
        </w:tc>
      </w:tr>
      <w:tr>
        <w:trPr>
          <w:trHeight w:val="213"/>
        </w:trPr>
        <w:tc>
          <w:tcPr>
            <w:tcW w:w="3380" w:type="dxa"/>
            <w:vAlign w:val="bottom"/>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Multifamily Properties (units) </w:t>
            </w:r>
            <w:r>
              <w:rPr>
                <w:rFonts w:ascii="Times New Roman" w:cs="Times New Roman" w:eastAsia="Times New Roman" w:hAnsi="Times New Roman"/>
                <w:sz w:val="20"/>
                <w:szCs w:val="20"/>
                <w:color w:val="auto"/>
                <w:vertAlign w:val="superscript"/>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91.5 %</w:t>
            </w: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Mixed-Use Properties (square feet)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93.7 %</w:t>
            </w:r>
          </w:p>
        </w:tc>
        <w:tc>
          <w:tcPr>
            <w:tcW w:w="2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95.0 %</w:t>
            </w:r>
          </w:p>
        </w:tc>
      </w:tr>
      <w:tr>
        <w:trPr>
          <w:trHeight w:val="213"/>
        </w:trPr>
        <w:tc>
          <w:tcPr>
            <w:tcW w:w="3380" w:type="dxa"/>
            <w:vAlign w:val="bottom"/>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Mixed-Use Properties (units) </w:t>
            </w:r>
            <w:r>
              <w:rPr>
                <w:rFonts w:ascii="Times New Roman" w:cs="Times New Roman" w:eastAsia="Times New Roman" w:hAnsi="Times New Roman"/>
                <w:sz w:val="20"/>
                <w:szCs w:val="20"/>
                <w:color w:val="auto"/>
                <w:vertAlign w:val="superscript"/>
              </w:rPr>
              <w:t>(4)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82.9 %</w:t>
            </w: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85" w:right="140" w:hanging="285"/>
        <w:spacing w:after="0" w:line="244" w:lineRule="auto"/>
        <w:tabs>
          <w:tab w:leader="none" w:pos="27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Leased square feet includes square feet under lease as of each date, including leases which may not have commenced as of that date. Leased units for our multifamily properties include total units leased and occupied as of that date.</w:t>
      </w: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Santa Fe Park RV Resort is excluded from the multifamily presentation above to reflect traditional multifamily performance as of each of the applicable dates.</w:t>
      </w:r>
    </w:p>
    <w:p>
      <w:pPr>
        <w:spacing w:after="0" w:line="4" w:lineRule="exact"/>
        <w:rPr>
          <w:rFonts w:ascii="Times New Roman" w:cs="Times New Roman" w:eastAsia="Times New Roman" w:hAnsi="Times New Roman"/>
          <w:sz w:val="13"/>
          <w:szCs w:val="13"/>
          <w:color w:val="auto"/>
        </w:rPr>
      </w:pPr>
    </w:p>
    <w:p>
      <w:pPr>
        <w:ind w:left="265" w:hanging="265"/>
        <w:spacing w:after="0" w:line="233" w:lineRule="auto"/>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average occupancy for the nine months ended September 30, 2026 and 2025.</w:t>
      </w:r>
    </w:p>
    <w:p>
      <w:pPr>
        <w:ind w:left="265" w:hanging="265"/>
        <w:spacing w:after="0"/>
        <w:tabs>
          <w:tab w:leader="none" w:pos="26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Same-store portfolio excludes land held for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4184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33</w:t>
      </w:r>
    </w:p>
    <w:p>
      <w:pPr>
        <w:sectPr>
          <w:pgSz w:w="11900" w:h="16838" w:orient="portrait"/>
          <w:cols w:equalWidth="0" w:num="1">
            <w:col w:w="11265"/>
          </w:cols>
          <w:pgMar w:left="315" w:top="401" w:right="319" w:bottom="1440" w:gutter="0" w:footer="0" w:header="0"/>
        </w:sectPr>
      </w:pPr>
    </w:p>
    <w:bookmarkStart w:id="45" w:name="page46"/>
    <w:bookmarkEnd w:id="45"/>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TOP TENANTS -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3"/>
              </w:rPr>
              <w:t>Total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rPr>
              <w:t>Annualized Base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1D3F85"/>
              </w:rPr>
              <w:t>Annualized Base</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w w:val="99"/>
              </w:rPr>
              <w:t>Lease</w:t>
            </w:r>
          </w:p>
        </w:tc>
        <w:tc>
          <w:tcPr>
            <w:tcW w:w="860" w:type="dxa"/>
            <w:vAlign w:val="bottom"/>
            <w:gridSpan w:val="2"/>
            <w:vMerge w:val="continue"/>
          </w:tcPr>
          <w:p>
            <w:pPr>
              <w:spacing w:after="0"/>
              <w:rPr>
                <w:sz w:val="12"/>
                <w:szCs w:val="12"/>
                <w:color w:val="auto"/>
              </w:rPr>
            </w:pPr>
          </w:p>
        </w:tc>
        <w:tc>
          <w:tcPr>
            <w:tcW w:w="98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1D3F85"/>
              </w:rPr>
              <w:t>Annualized</w:t>
            </w:r>
          </w:p>
        </w:tc>
        <w:tc>
          <w:tcPr>
            <w:tcW w:w="90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rPr>
              <w:t>Rent as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Rent as a</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6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1D3F85"/>
              </w:rPr>
              <w:t>Tenant</w:t>
            </w:r>
          </w:p>
        </w:tc>
        <w:tc>
          <w:tcPr>
            <w:tcW w:w="80" w:type="dxa"/>
            <w:vAlign w:val="bottom"/>
            <w:vMerge w:val="restart"/>
          </w:tcPr>
          <w:p>
            <w:pPr>
              <w:spacing w:after="0"/>
              <w:rPr>
                <w:sz w:val="12"/>
                <w:szCs w:val="12"/>
                <w:color w:val="auto"/>
              </w:rPr>
            </w:pPr>
          </w:p>
        </w:tc>
        <w:tc>
          <w:tcPr>
            <w:tcW w:w="17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1D3F85"/>
              </w:rPr>
              <w:t>Property</w:t>
            </w:r>
          </w:p>
        </w:tc>
        <w:tc>
          <w:tcPr>
            <w:tcW w:w="8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1D3F85"/>
              </w:rPr>
              <w:t>Occupied</w:t>
            </w:r>
          </w:p>
        </w:tc>
        <w:tc>
          <w:tcPr>
            <w:tcW w:w="98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0" w:type="dxa"/>
            <w:vAlign w:val="bottom"/>
          </w:tcPr>
          <w:p>
            <w:pPr>
              <w:spacing w:after="0"/>
              <w:rPr>
                <w:sz w:val="1"/>
                <w:szCs w:val="1"/>
                <w:color w:val="auto"/>
              </w:rPr>
            </w:pPr>
          </w:p>
        </w:tc>
      </w:tr>
      <w:tr>
        <w:trPr>
          <w:trHeight w:val="189"/>
        </w:trPr>
        <w:tc>
          <w:tcPr>
            <w:tcW w:w="2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1D3F85"/>
              </w:rPr>
              <w:t>Expiration</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1D3F85"/>
              </w:rPr>
              <w:t>Square Feet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Total Office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Total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1D3F85"/>
              </w:rPr>
              <w:t>Base Rent</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Total Office</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103"/>
              <w:spacing w:after="0" w:line="189" w:lineRule="exact"/>
              <w:rPr>
                <w:sz w:val="20"/>
                <w:szCs w:val="20"/>
                <w:color w:val="auto"/>
              </w:rPr>
            </w:pPr>
            <w:r>
              <w:rPr>
                <w:rFonts w:ascii="Times New Roman" w:cs="Times New Roman" w:eastAsia="Times New Roman" w:hAnsi="Times New Roman"/>
                <w:sz w:val="14"/>
                <w:szCs w:val="14"/>
                <w:b w:val="1"/>
                <w:bCs w:val="1"/>
                <w:color w:val="1D3F85"/>
                <w:w w:val="93"/>
              </w:rPr>
              <w:t xml:space="preserve">Total </w:t>
            </w:r>
            <w:r>
              <w:rPr>
                <w:rFonts w:ascii="Times New Roman" w:cs="Times New Roman" w:eastAsia="Times New Roman" w:hAnsi="Times New Roman"/>
                <w:sz w:val="18"/>
                <w:szCs w:val="18"/>
                <w:b w:val="1"/>
                <w:bCs w:val="1"/>
                <w:color w:val="1D3F85"/>
                <w:w w:val="93"/>
                <w:vertAlign w:val="superscript"/>
              </w:rPr>
              <w:t>(6)</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1</w:t>
            </w:r>
          </w:p>
        </w:tc>
        <w:tc>
          <w:tcPr>
            <w:tcW w:w="17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Google LLC</w:t>
            </w:r>
          </w:p>
        </w:tc>
        <w:tc>
          <w:tcPr>
            <w:tcW w:w="17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The Landmark at One</w:t>
            </w:r>
          </w:p>
        </w:tc>
        <w:tc>
          <w:tcPr>
            <w:tcW w:w="8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12/31/2029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253,198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89"/>
              </w:rPr>
              <w:t>%</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$ 28,213,097</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89"/>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LPL Holdings, Inc.</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4/30/2029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421,001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21,629,701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w:t>
            </w:r>
          </w:p>
        </w:tc>
        <w:tc>
          <w:tcPr>
            <w:tcW w:w="17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Autodesk, Inc. (1)</w:t>
            </w:r>
          </w:p>
        </w:tc>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The Landmark at One</w:t>
            </w:r>
          </w:p>
        </w:tc>
        <w:tc>
          <w:tcPr>
            <w:tcW w:w="8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12/31/2028</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138,615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14,142,816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6/30/2031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w:t>
            </w:r>
          </w:p>
        </w:tc>
        <w:tc>
          <w:tcPr>
            <w:tcW w:w="17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Smartsheet, Inc. (2)</w:t>
            </w:r>
          </w:p>
        </w:tc>
        <w:tc>
          <w:tcPr>
            <w:tcW w:w="17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12/31/2026</w:t>
            </w:r>
          </w:p>
        </w:tc>
        <w:tc>
          <w:tcPr>
            <w:tcW w:w="8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103,344</w:t>
            </w: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6,333,546</w:t>
            </w:r>
          </w:p>
        </w:tc>
        <w:tc>
          <w:tcPr>
            <w:tcW w:w="8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4/30/2029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12/31/2032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w:t>
            </w:r>
          </w:p>
        </w:tc>
        <w:tc>
          <w:tcPr>
            <w:tcW w:w="17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Databricks, Inc. (3)</w:t>
            </w:r>
          </w:p>
        </w:tc>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11/30/2027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87,685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5,856,683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1/31/2028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3/31/2028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w:t>
            </w:r>
          </w:p>
        </w:tc>
        <w:tc>
          <w:tcPr>
            <w:tcW w:w="17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Industrious (4)</w:t>
            </w:r>
          </w:p>
        </w:tc>
        <w:tc>
          <w:tcPr>
            <w:tcW w:w="17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City Center Bellevue</w:t>
            </w: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3/31/2030</w:t>
            </w:r>
          </w:p>
        </w:tc>
        <w:tc>
          <w:tcPr>
            <w:tcW w:w="8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96,375</w:t>
            </w: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5,333,162</w:t>
            </w:r>
          </w:p>
        </w:tc>
        <w:tc>
          <w:tcPr>
            <w:tcW w:w="8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4/30/2033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3/31/2034</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7/31/2035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Illumina, Inc.</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10/31/2027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5,289,177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8</w:t>
            </w:r>
          </w:p>
        </w:tc>
        <w:tc>
          <w:tcPr>
            <w:tcW w:w="17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State of Oregon:</w:t>
            </w:r>
          </w:p>
        </w:tc>
        <w:tc>
          <w:tcPr>
            <w:tcW w:w="17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Lloyd Portfolio</w:t>
            </w: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10/31/2031</w:t>
            </w:r>
          </w:p>
        </w:tc>
        <w:tc>
          <w:tcPr>
            <w:tcW w:w="8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87,787</w:t>
            </w: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3,207,179</w:t>
            </w:r>
          </w:p>
        </w:tc>
        <w:tc>
          <w:tcPr>
            <w:tcW w:w="8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7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Department of</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Environmental Quality</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 technology tenant (5)</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 Jolla Commons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8/31/2030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2,755,246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Genentech, Inc.</w:t>
            </w:r>
          </w:p>
        </w:tc>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Lloyd Portfolio</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10/31/2026</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2,631,025</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Top 10 Office Tenants Total</w:t>
            </w: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1,368,833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20.1 %</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$ 95,391,632</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45.0 %</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23.4 %</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65" w:hanging="265"/>
        <w:spacing w:after="0"/>
        <w:tabs>
          <w:tab w:leader="none" w:pos="26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Autodesk, Inc., 92,820 and 45,795 of leased square feet have a lease expiration of December 31, 2028 and June 30, 2031, respectively.</w:t>
      </w:r>
    </w:p>
    <w:p>
      <w:pPr>
        <w:ind w:left="265" w:hanging="265"/>
        <w:spacing w:after="0"/>
        <w:tabs>
          <w:tab w:leader="none" w:pos="26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Smartsheet, Inc., 19,697, 49,372, and 34,275 of leased square feet have a lease expiration of December 31, 2026, April 30, 2029, and December 31, 2032, respectively.</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Databricks, Inc., 17,623, 32,562, and 37,500 of leased square feet have a lease expiration of November 30, 2027, January 31, 2028, and March 31, 2028, respectively.</w:t>
      </w:r>
    </w:p>
    <w:p>
      <w:pPr>
        <w:spacing w:after="0" w:line="4" w:lineRule="exact"/>
        <w:rPr>
          <w:rFonts w:ascii="Times New Roman" w:cs="Times New Roman" w:eastAsia="Times New Roman" w:hAnsi="Times New Roman"/>
          <w:sz w:val="13"/>
          <w:szCs w:val="13"/>
          <w:color w:val="auto"/>
        </w:rPr>
      </w:pPr>
    </w:p>
    <w:p>
      <w:pPr>
        <w:ind w:left="285" w:right="460" w:hanging="285"/>
        <w:spacing w:after="0"/>
        <w:tabs>
          <w:tab w:leader="none" w:pos="27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Industrious, 20,626, 18,090, 37,166, and 20,493 of leased square feet have a lease expiration of March 31, 2030 (City Center Bellevue), April 30, 2033 (City Center Bellevue), March 31, 2034 (City Center Bellevue), and July 31, 2035 (La Jolla Commons), respectively.</w:t>
      </w:r>
    </w:p>
    <w:p>
      <w:pPr>
        <w:ind w:left="265" w:hanging="265"/>
        <w:spacing w:after="0"/>
        <w:tabs>
          <w:tab w:leader="none" w:pos="26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withheld per tenant's request.</w:t>
      </w:r>
    </w:p>
    <w:p>
      <w:pPr>
        <w:ind w:left="265" w:hanging="265"/>
        <w:spacing w:after="0"/>
        <w:tabs>
          <w:tab w:leader="none" w:pos="265"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includes annualized base rent for office, retail (including mixed-use retail) and multifamily portfolios, plus trailing twelve months' room revenue (ended September 30, 2026) for the mixed-use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184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34</w:t>
      </w:r>
    </w:p>
    <w:p>
      <w:pPr>
        <w:sectPr>
          <w:pgSz w:w="11900" w:h="16838" w:orient="portrait"/>
          <w:cols w:equalWidth="0" w:num="1">
            <w:col w:w="11265"/>
          </w:cols>
          <w:pgMar w:left="315" w:top="401" w:right="319" w:bottom="1440" w:gutter="0" w:footer="0" w:header="0"/>
        </w:sectPr>
      </w:pPr>
    </w:p>
    <w:bookmarkStart w:id="46" w:name="page47"/>
    <w:bookmarkEnd w:id="46"/>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TOP TENANTS -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b w:val="1"/>
          <w:bCs w:val="1"/>
          <w:color w:val="003366"/>
        </w:rPr>
        <w:t>As of September 30, 2026</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w w:val="93"/>
              </w:rPr>
              <w:t>Total</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1D3F85"/>
              </w:rPr>
              <w:t>Rentable Square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1D3F85"/>
                <w:w w:val="99"/>
              </w:rPr>
              <w:t>Annualized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Annualized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1D3F85"/>
                <w:w w:val="99"/>
              </w:rPr>
              <w:t>Lease</w:t>
            </w:r>
          </w:p>
        </w:tc>
        <w:tc>
          <w:tcPr>
            <w:tcW w:w="8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1D3F85"/>
              </w:rPr>
              <w:t>Occupied</w:t>
            </w:r>
          </w:p>
        </w:tc>
        <w:tc>
          <w:tcPr>
            <w:tcW w:w="98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left="63"/>
              <w:spacing w:after="0" w:line="142" w:lineRule="exact"/>
              <w:rPr>
                <w:sz w:val="20"/>
                <w:szCs w:val="20"/>
                <w:color w:val="auto"/>
              </w:rPr>
            </w:pPr>
            <w:r>
              <w:rPr>
                <w:rFonts w:ascii="Times New Roman" w:cs="Times New Roman" w:eastAsia="Times New Roman" w:hAnsi="Times New Roman"/>
                <w:sz w:val="14"/>
                <w:szCs w:val="14"/>
                <w:b w:val="1"/>
                <w:bCs w:val="1"/>
                <w:color w:val="1D3F85"/>
                <w:w w:val="99"/>
              </w:rPr>
              <w:t>Feet as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1D3F85"/>
              </w:rPr>
              <w:t>Annualized</w:t>
            </w:r>
          </w:p>
        </w:tc>
        <w:tc>
          <w:tcPr>
            <w:tcW w:w="11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1D3F85"/>
              </w:rPr>
              <w:t>Base Rent as a</w:t>
            </w: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1D3F85"/>
              </w:rPr>
              <w:t>Base Rent as a</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9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1D3F85"/>
              </w:rPr>
              <w:t>Tenant</w:t>
            </w:r>
          </w:p>
        </w:tc>
        <w:tc>
          <w:tcPr>
            <w:tcW w:w="60" w:type="dxa"/>
            <w:vAlign w:val="bottom"/>
            <w:vMerge w:val="restart"/>
          </w:tcPr>
          <w:p>
            <w:pPr>
              <w:spacing w:after="0"/>
              <w:rPr>
                <w:sz w:val="12"/>
                <w:szCs w:val="12"/>
                <w:color w:val="auto"/>
              </w:rPr>
            </w:pPr>
          </w:p>
        </w:tc>
        <w:tc>
          <w:tcPr>
            <w:tcW w:w="17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1D3F85"/>
              </w:rPr>
              <w:t>Property(ies)</w:t>
            </w:r>
          </w:p>
        </w:tc>
        <w:tc>
          <w:tcPr>
            <w:tcW w:w="8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1D3F85"/>
                <w:w w:val="98"/>
              </w:rPr>
              <w:t>Square</w:t>
            </w:r>
          </w:p>
        </w:tc>
        <w:tc>
          <w:tcPr>
            <w:tcW w:w="98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left="83"/>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1D3F85"/>
              </w:rPr>
              <w:t>Percentage of</w:t>
            </w:r>
          </w:p>
        </w:tc>
        <w:tc>
          <w:tcPr>
            <w:tcW w:w="0" w:type="dxa"/>
            <w:vAlign w:val="bottom"/>
          </w:tcPr>
          <w:p>
            <w:pPr>
              <w:spacing w:after="0"/>
              <w:rPr>
                <w:sz w:val="1"/>
                <w:szCs w:val="1"/>
                <w:color w:val="auto"/>
              </w:rPr>
            </w:pPr>
          </w:p>
        </w:tc>
      </w:tr>
      <w:tr>
        <w:trPr>
          <w:trHeight w:val="189"/>
        </w:trPr>
        <w:tc>
          <w:tcPr>
            <w:tcW w:w="2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1D3F85"/>
              </w:rPr>
              <w:t>Expiration</w:t>
            </w: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1D3F85"/>
              </w:rPr>
              <w:t>Feet</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Total Retail</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1D3F85"/>
              </w:rPr>
              <w:t>Total</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1D3F85"/>
              </w:rPr>
              <w:t>Base Rent</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4"/>
                <w:szCs w:val="14"/>
                <w:b w:val="1"/>
                <w:bCs w:val="1"/>
                <w:color w:val="1D3F85"/>
              </w:rPr>
              <w:t>Total Retail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63"/>
              <w:spacing w:after="0" w:line="189" w:lineRule="exact"/>
              <w:rPr>
                <w:sz w:val="20"/>
                <w:szCs w:val="20"/>
                <w:color w:val="auto"/>
              </w:rPr>
            </w:pPr>
            <w:r>
              <w:rPr>
                <w:rFonts w:ascii="Times New Roman" w:cs="Times New Roman" w:eastAsia="Times New Roman" w:hAnsi="Times New Roman"/>
                <w:sz w:val="14"/>
                <w:szCs w:val="14"/>
                <w:b w:val="1"/>
                <w:bCs w:val="1"/>
                <w:color w:val="1D3F85"/>
                <w:w w:val="93"/>
              </w:rPr>
              <w:t xml:space="preserve">Total </w:t>
            </w:r>
            <w:r>
              <w:rPr>
                <w:rFonts w:ascii="Times New Roman" w:cs="Times New Roman" w:eastAsia="Times New Roman" w:hAnsi="Times New Roman"/>
                <w:sz w:val="18"/>
                <w:szCs w:val="18"/>
                <w:b w:val="1"/>
                <w:bCs w:val="1"/>
                <w:color w:val="1D3F85"/>
                <w:w w:val="93"/>
                <w:vertAlign w:val="superscript"/>
              </w:rPr>
              <w:t>(7)</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Lowe's</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5/31/2028</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4,092,000</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w:t>
            </w:r>
          </w:p>
        </w:tc>
        <w:tc>
          <w:tcPr>
            <w:tcW w:w="19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Sprouts Farmers Market (1)</w:t>
            </w:r>
          </w:p>
        </w:tc>
        <w:tc>
          <w:tcPr>
            <w:tcW w:w="18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Solana Beach Towne</w:t>
            </w:r>
          </w:p>
        </w:tc>
        <w:tc>
          <w:tcPr>
            <w:tcW w:w="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6/30/2029</w:t>
            </w:r>
          </w:p>
        </w:tc>
        <w:tc>
          <w:tcPr>
            <w:tcW w:w="6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71,431</w:t>
            </w:r>
          </w:p>
        </w:tc>
        <w:tc>
          <w:tcPr>
            <w:tcW w:w="80" w:type="dxa"/>
            <w:vAlign w:val="bottom"/>
          </w:tcPr>
          <w:p>
            <w:pPr>
              <w:spacing w:after="0"/>
              <w:rPr>
                <w:sz w:val="14"/>
                <w:szCs w:val="14"/>
                <w:color w:val="auto"/>
              </w:rPr>
            </w:pPr>
          </w:p>
        </w:tc>
        <w:tc>
          <w:tcPr>
            <w:tcW w:w="98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2,248,554</w:t>
            </w:r>
          </w:p>
        </w:tc>
        <w:tc>
          <w:tcPr>
            <w:tcW w:w="6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620"/>
              <w:spacing w:after="0" w:line="165" w:lineRule="exact"/>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Centre</w:t>
            </w:r>
          </w:p>
        </w:tc>
        <w:tc>
          <w:tcPr>
            <w:tcW w:w="8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9/30/2032</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Geary Marketplace</w:t>
            </w: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3/31/2035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Mountain Plaza</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w:t>
            </w:r>
          </w:p>
        </w:tc>
        <w:tc>
          <w:tcPr>
            <w:tcW w:w="19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Marshalls (2)</w:t>
            </w:r>
          </w:p>
        </w:tc>
        <w:tc>
          <w:tcPr>
            <w:tcW w:w="18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Carmel Mountain Plaza</w:t>
            </w:r>
          </w:p>
        </w:tc>
        <w:tc>
          <w:tcPr>
            <w:tcW w:w="8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1/31/2029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68,055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1,901,151</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ind w:left="620"/>
              <w:spacing w:after="0" w:line="165" w:lineRule="exact"/>
              <w:rPr>
                <w:sz w:val="20"/>
                <w:szCs w:val="20"/>
                <w:color w:val="auto"/>
              </w:rPr>
            </w:pPr>
            <w:r>
              <w:rPr>
                <w:rFonts w:ascii="Times New Roman" w:cs="Times New Roman" w:eastAsia="Times New Roman" w:hAnsi="Times New Roman"/>
                <w:sz w:val="16"/>
                <w:szCs w:val="16"/>
                <w:color w:val="auto"/>
              </w:rPr>
              <w:t>0.5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Solana Beach Towne</w:t>
            </w:r>
          </w:p>
        </w:tc>
        <w:tc>
          <w:tcPr>
            <w:tcW w:w="8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1/31/2035</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Centre</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w:t>
            </w:r>
          </w:p>
        </w:tc>
        <w:tc>
          <w:tcPr>
            <w:tcW w:w="19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Nordstrom Rack (3)</w:t>
            </w:r>
          </w:p>
        </w:tc>
        <w:tc>
          <w:tcPr>
            <w:tcW w:w="18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Alamo Quarry Market</w:t>
            </w:r>
          </w:p>
        </w:tc>
        <w:tc>
          <w:tcPr>
            <w:tcW w:w="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10/31/2027</w:t>
            </w:r>
          </w:p>
        </w:tc>
        <w:tc>
          <w:tcPr>
            <w:tcW w:w="6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69,047</w:t>
            </w:r>
          </w:p>
        </w:tc>
        <w:tc>
          <w:tcPr>
            <w:tcW w:w="80" w:type="dxa"/>
            <w:vAlign w:val="bottom"/>
          </w:tcPr>
          <w:p>
            <w:pPr>
              <w:spacing w:after="0"/>
              <w:rPr>
                <w:sz w:val="14"/>
                <w:szCs w:val="14"/>
                <w:color w:val="auto"/>
              </w:rPr>
            </w:pPr>
          </w:p>
        </w:tc>
        <w:tc>
          <w:tcPr>
            <w:tcW w:w="98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1,804,269</w:t>
            </w:r>
          </w:p>
        </w:tc>
        <w:tc>
          <w:tcPr>
            <w:tcW w:w="6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620"/>
              <w:spacing w:after="0" w:line="165" w:lineRule="exact"/>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Mountain Plaza</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9/30/2032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Vons</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Lomas Santa Fe Plaza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12/31/2047</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1,609,086</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w:t>
            </w:r>
          </w:p>
        </w:tc>
        <w:tc>
          <w:tcPr>
            <w:tcW w:w="19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Old Navy (4)</w:t>
            </w:r>
          </w:p>
        </w:tc>
        <w:tc>
          <w:tcPr>
            <w:tcW w:w="18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Alamo Quarry Market</w:t>
            </w:r>
          </w:p>
        </w:tc>
        <w:tc>
          <w:tcPr>
            <w:tcW w:w="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9/30/2027</w:t>
            </w:r>
          </w:p>
        </w:tc>
        <w:tc>
          <w:tcPr>
            <w:tcW w:w="6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52,936</w:t>
            </w:r>
          </w:p>
        </w:tc>
        <w:tc>
          <w:tcPr>
            <w:tcW w:w="80" w:type="dxa"/>
            <w:vAlign w:val="bottom"/>
          </w:tcPr>
          <w:p>
            <w:pPr>
              <w:spacing w:after="0"/>
              <w:rPr>
                <w:sz w:val="14"/>
                <w:szCs w:val="14"/>
                <w:color w:val="auto"/>
              </w:rPr>
            </w:pPr>
          </w:p>
        </w:tc>
        <w:tc>
          <w:tcPr>
            <w:tcW w:w="98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1,365,407</w:t>
            </w:r>
          </w:p>
        </w:tc>
        <w:tc>
          <w:tcPr>
            <w:tcW w:w="6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620"/>
              <w:spacing w:after="0" w:line="165" w:lineRule="exact"/>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Southbay Marketplace</w:t>
            </w:r>
          </w:p>
        </w:tc>
        <w:tc>
          <w:tcPr>
            <w:tcW w:w="8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4/30/2028</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7/31/2030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Hobby Lobby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Gateway Marketplace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9/30/2036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1,247,500</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8</w:t>
            </w:r>
          </w:p>
        </w:tc>
        <w:tc>
          <w:tcPr>
            <w:tcW w:w="19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Sola Salons (5)</w:t>
            </w:r>
          </w:p>
        </w:tc>
        <w:tc>
          <w:tcPr>
            <w:tcW w:w="18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Solana Beach Towne</w:t>
            </w:r>
          </w:p>
        </w:tc>
        <w:tc>
          <w:tcPr>
            <w:tcW w:w="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11/30/2029</w:t>
            </w:r>
          </w:p>
        </w:tc>
        <w:tc>
          <w:tcPr>
            <w:tcW w:w="6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42,576</w:t>
            </w:r>
          </w:p>
        </w:tc>
        <w:tc>
          <w:tcPr>
            <w:tcW w:w="80" w:type="dxa"/>
            <w:vAlign w:val="bottom"/>
          </w:tcPr>
          <w:p>
            <w:pPr>
              <w:spacing w:after="0"/>
              <w:rPr>
                <w:sz w:val="14"/>
                <w:szCs w:val="14"/>
                <w:color w:val="auto"/>
              </w:rPr>
            </w:pPr>
          </w:p>
        </w:tc>
        <w:tc>
          <w:tcPr>
            <w:tcW w:w="98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1,225,726</w:t>
            </w:r>
          </w:p>
        </w:tc>
        <w:tc>
          <w:tcPr>
            <w:tcW w:w="6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620"/>
              <w:spacing w:after="0" w:line="165" w:lineRule="exact"/>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Centre</w:t>
            </w:r>
          </w:p>
        </w:tc>
        <w:tc>
          <w:tcPr>
            <w:tcW w:w="8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3/31/2031</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Hassalo on Eighth</w:t>
            </w: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6/30/2032</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South Bay Marketplace</w:t>
            </w:r>
          </w:p>
        </w:tc>
        <w:tc>
          <w:tcPr>
            <w:tcW w:w="8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8/31/2034</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Carmel Mountain Plaza</w:t>
            </w:r>
          </w:p>
        </w:tc>
        <w:tc>
          <w:tcPr>
            <w:tcW w:w="8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2/29/2036</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Carmel Country Plaza</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Safeway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Waikele Center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1,201,200</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10</w:t>
            </w:r>
          </w:p>
        </w:tc>
        <w:tc>
          <w:tcPr>
            <w:tcW w:w="19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HomeGoods (6)</w:t>
            </w:r>
          </w:p>
        </w:tc>
        <w:tc>
          <w:tcPr>
            <w:tcW w:w="18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Lomas Santa Fe Plaza</w:t>
            </w:r>
          </w:p>
        </w:tc>
        <w:tc>
          <w:tcPr>
            <w:tcW w:w="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2/28/2030</w:t>
            </w:r>
          </w:p>
        </w:tc>
        <w:tc>
          <w:tcPr>
            <w:tcW w:w="6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55,837</w:t>
            </w:r>
          </w:p>
        </w:tc>
        <w:tc>
          <w:tcPr>
            <w:tcW w:w="80" w:type="dxa"/>
            <w:vAlign w:val="bottom"/>
          </w:tcPr>
          <w:p>
            <w:pPr>
              <w:spacing w:after="0"/>
              <w:rPr>
                <w:sz w:val="14"/>
                <w:szCs w:val="14"/>
                <w:color w:val="auto"/>
              </w:rPr>
            </w:pPr>
          </w:p>
        </w:tc>
        <w:tc>
          <w:tcPr>
            <w:tcW w:w="98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1,200,000</w:t>
            </w:r>
          </w:p>
        </w:tc>
        <w:tc>
          <w:tcPr>
            <w:tcW w:w="6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620"/>
              <w:spacing w:after="0" w:line="165" w:lineRule="exact"/>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Alamo Quarry Market</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8/31/2034</w:t>
            </w: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Top 10 Retail Tenants Total</w:t>
            </w:r>
          </w:p>
        </w:tc>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679,727</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28.3 %</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17,894,893</w:t>
            </w: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24.8 %</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w w:val="99"/>
              </w:rPr>
              <w:t>4.4 %</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Notes:</w:t>
      </w:r>
    </w:p>
    <w:p>
      <w:pPr>
        <w:spacing w:after="0" w:line="6" w:lineRule="exact"/>
        <w:rPr>
          <w:sz w:val="20"/>
          <w:szCs w:val="20"/>
          <w:color w:val="auto"/>
        </w:rPr>
      </w:pPr>
    </w:p>
    <w:p>
      <w:pPr>
        <w:ind w:left="285" w:right="220" w:hanging="285"/>
        <w:spacing w:after="0" w:line="244" w:lineRule="auto"/>
        <w:tabs>
          <w:tab w:leader="none" w:pos="27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Sprouts Farmers Market, 14,986, 25,472, and 30,973 of leased square feet have a lease expiration of June 30, 2029 (Solana Beach Towne Centre), September 30, 2032 (Geary Marketplace), and March 31, 2035 (Carmel Mountain Plaza), respectively.</w:t>
      </w:r>
    </w:p>
    <w:p>
      <w:pPr>
        <w:ind w:left="265" w:hanging="265"/>
        <w:spacing w:after="0"/>
        <w:tabs>
          <w:tab w:leader="none" w:pos="26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Marshalls, 28,760 and 39,295 of leased square feet have a lease expiration of January 31, 2029 (Carmel Mountain Plaza) and January 31, 2035 (Solana Beach Towne Centre).</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Nordstrom Rack, 30,000 and 39,047 of leased square feet have a lease expiration of October 31, 2027 (Alamo Quarry Market) and September 30, 2032 (Carmel Mountain Plaza), respectively.</w:t>
      </w:r>
    </w:p>
    <w:p>
      <w:pPr>
        <w:spacing w:after="0" w:line="4" w:lineRule="exact"/>
        <w:rPr>
          <w:rFonts w:ascii="Times New Roman" w:cs="Times New Roman" w:eastAsia="Times New Roman" w:hAnsi="Times New Roman"/>
          <w:sz w:val="13"/>
          <w:szCs w:val="13"/>
          <w:color w:val="auto"/>
        </w:rPr>
      </w:pPr>
    </w:p>
    <w:p>
      <w:pPr>
        <w:ind w:left="285" w:right="260" w:hanging="285"/>
        <w:spacing w:after="0" w:line="237" w:lineRule="auto"/>
        <w:tabs>
          <w:tab w:leader="none" w:pos="27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Old Navy, 15,021, 20,000 and 17,915 of leased square feet have a lease expiration of September 30, 2027 (Alamo Quarry Market), April 30, 2028 (South Bay Marketplace) and July 31, 2030 (Waikele Center), respectively.</w:t>
      </w:r>
    </w:p>
    <w:p>
      <w:pPr>
        <w:ind w:left="285" w:right="140" w:hanging="285"/>
        <w:spacing w:after="0" w:line="246" w:lineRule="auto"/>
        <w:tabs>
          <w:tab w:leader="none" w:pos="27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Sola Salons, 6,300, 5,775, 7,500, 14,289, and 8,712 of leased square feet have a lease expiration of November 30, 2029 (Solana Beach Towne Centre), March 31, 2031 (Hassalo on Eighth - Retail), June 30, 2032 (South Bay Marketplace), August 31, 2034 (Carmel Mountain Plaza), and February 29, 2036 (Carmel Country Plaza), respectively.</w:t>
      </w:r>
    </w:p>
    <w:p>
      <w:pPr>
        <w:spacing w:after="0" w:line="1"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HomeGoods, 30,000 and 25,837 of leased square feet have a lease expiration of February 28, 2030 (Lomas Santa Fe Plaza) and August 31, 2034 (Alamo Quarry Market), respectively.</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includes annualized base rent for office, retail (including mixed-use retail) and multifamily portfolios, plus trailing twelve months' room revenue (ended September 30, 2026) for the mixed-use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184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35</w:t>
      </w:r>
    </w:p>
    <w:p>
      <w:pPr>
        <w:sectPr>
          <w:pgSz w:w="11900" w:h="16838" w:orient="portrait"/>
          <w:cols w:equalWidth="0" w:num="1">
            <w:col w:w="11265"/>
          </w:cols>
          <w:pgMar w:left="315" w:top="401" w:right="3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487045</wp:posOffset>
            </wp:positionV>
            <wp:extent cx="714184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84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104140</wp:posOffset>
            </wp:positionV>
            <wp:extent cx="7141845" cy="307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845" cy="3079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3"/>
          <w:szCs w:val="63"/>
          <w:b w:val="1"/>
          <w:bCs w:val="1"/>
          <w:color w:val="003366"/>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693420</wp:posOffset>
            </wp:positionV>
            <wp:extent cx="714184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36</w:t>
      </w:r>
    </w:p>
    <w:p>
      <w:pPr>
        <w:sectPr>
          <w:pgSz w:w="11900" w:h="16838" w:orient="portrait"/>
          <w:cols w:equalWidth="0" w:num="1">
            <w:col w:w="11200"/>
          </w:cols>
          <w:pgMar w:left="340" w:top="1440" w:right="35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2"/>
          <w:szCs w:val="12"/>
          <w:b w:val="1"/>
          <w:bCs w:val="1"/>
          <w:color w:val="auto"/>
        </w:rPr>
        <w:t xml:space="preserve">Earnings Before Interest, Taxes, Depreciation, and Amortization (EBITDA): </w:t>
      </w:r>
      <w:r>
        <w:rPr>
          <w:rFonts w:ascii="Times New Roman" w:cs="Times New Roman" w:eastAsia="Times New Roman" w:hAnsi="Times New Roman"/>
          <w:sz w:val="12"/>
          <w:szCs w:val="12"/>
          <w:color w:val="auto"/>
        </w:rPr>
        <w:t>EBITDA is a non-GAAP measure that means net income or loss plus depreciation and amortization, net interest expense, income taxes, gain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loss on sale of real estate and impairments of real estate, if any. EBITDA is presented because it approximates a key performance measure in our debt covenants, but it should not be considered an alternative measure of operating results or cash flow from operations as determined in accordance with GAAP. The reconciliation of net income to EBITDA for the three and nine months ended September 30, 2026 and 2025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80" w:type="dxa"/>
            <w:vAlign w:val="bottom"/>
          </w:tcPr>
          <w:p>
            <w:pPr>
              <w:spacing w:after="0"/>
              <w:rPr>
                <w:sz w:val="14"/>
                <w:szCs w:val="14"/>
                <w:color w:val="auto"/>
              </w:rPr>
            </w:pPr>
          </w:p>
        </w:tc>
        <w:tc>
          <w:tcPr>
            <w:tcW w:w="184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89"/>
        </w:trPr>
        <w:tc>
          <w:tcPr>
            <w:tcW w:w="6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6"/>
                <w:szCs w:val="16"/>
                <w:color w:val="auto"/>
              </w:rPr>
            </w:pPr>
          </w:p>
        </w:tc>
      </w:tr>
      <w:tr>
        <w:trPr>
          <w:trHeight w:val="21"/>
        </w:trPr>
        <w:tc>
          <w:tcPr>
            <w:tcW w:w="6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0"/>
        </w:trPr>
        <w:tc>
          <w:tcPr>
            <w:tcW w:w="6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
        </w:trPr>
        <w:tc>
          <w:tcPr>
            <w:tcW w:w="6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1"/>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CCEEFF"/>
            </w:tcBorders>
            <w:shd w:val="clear" w:color="auto" w:fill="CCEE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10,018</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67,149</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33,029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32,014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95,290</w:t>
            </w:r>
          </w:p>
        </w:tc>
      </w:tr>
      <w:tr>
        <w:trPr>
          <w:trHeight w:val="21"/>
        </w:trPr>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net</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19,971</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19,773</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59,609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58,337</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(1,083)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(3,460)</w:t>
            </w:r>
          </w:p>
        </w:tc>
      </w:tr>
      <w:tr>
        <w:trPr>
          <w:trHeight w:val="21"/>
        </w:trPr>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6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r>
      <w:tr>
        <w:trPr>
          <w:trHeight w:val="21"/>
        </w:trPr>
        <w:tc>
          <w:tcPr>
            <w:tcW w:w="6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6"/>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66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62,475</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56,781</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179,629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173,531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Adjusted EBITDA: </w:t>
      </w:r>
      <w:r>
        <w:rPr>
          <w:rFonts w:ascii="Times New Roman" w:cs="Times New Roman" w:eastAsia="Times New Roman" w:hAnsi="Times New Roman"/>
          <w:sz w:val="13"/>
          <w:szCs w:val="13"/>
          <w:color w:val="auto"/>
        </w:rPr>
        <w:t>Adjusted EBITDA is a non-GAAP measure that begins with EBITDA and includes adjustments for certain items that we believe are not representative of ongoing operating performance. Specifically,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include an early extinguishment of debt adjustment and pro forma adjustment to reflect a full period of NOI on the operating properties we acquire during the quarter, to assume all transactions occurred at the beginning of the quarter. We use Adjusted EBITDA as a supplemental performance measure because we believe these items create significant earnings volatility which in turn results in less comparability between reporting periods and less predictability regarding future earnings potential. However, Adjusted EBITDA should not be considered an alternative measure of operating results or cash flow from operations as determined by GAAP. The reconciliation of EBITDA to Adjusted EBITDA for the three and nine months ended September 30, 2026 and 2025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184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89"/>
        </w:trPr>
        <w:tc>
          <w:tcPr>
            <w:tcW w:w="6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6"/>
                <w:szCs w:val="16"/>
                <w:color w:val="auto"/>
              </w:rPr>
            </w:pPr>
          </w:p>
        </w:tc>
      </w:tr>
      <w:tr>
        <w:trPr>
          <w:trHeight w:val="21"/>
        </w:trPr>
        <w:tc>
          <w:tcPr>
            <w:tcW w:w="6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0"/>
        </w:trPr>
        <w:tc>
          <w:tcPr>
            <w:tcW w:w="6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6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62,475</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56,781</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179,629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173,531</w:t>
            </w: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 forma adjustments</w:t>
            </w:r>
          </w:p>
        </w:tc>
        <w:tc>
          <w:tcPr>
            <w:tcW w:w="6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62,475</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56,781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179,629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Earnings Before Interest, Taxes, Depreciation, and Amortization for Real Estate (EBITDA</w:t>
      </w:r>
      <w:r>
        <w:rPr>
          <w:rFonts w:ascii="Times New Roman" w:cs="Times New Roman" w:eastAsia="Times New Roman" w:hAnsi="Times New Roman"/>
          <w:sz w:val="13"/>
          <w:szCs w:val="13"/>
          <w:b w:val="1"/>
          <w:bCs w:val="1"/>
          <w:i w:val="1"/>
          <w:iCs w:val="1"/>
          <w:color w:val="auto"/>
        </w:rPr>
        <w:t>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a supplemental non-GAAP measure of real estate companies' operating performances. The National</w:t>
      </w:r>
    </w:p>
    <w:p>
      <w:pPr>
        <w:spacing w:after="0" w:line="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3"/>
          <w:szCs w:val="13"/>
          <w:color w:val="auto"/>
        </w:rPr>
        <w:t>Association of Real Estate Investment Trusts (NAREIT) defines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as follows: net income or loss, computed in accordance with GAAP plus depreciation and amortization, net interest expense, income taxes, gain or loss on sale of real estate including gain or loss on change of control, impairments of real estate, and adjustments to reflect the entity's share of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of unconsolidated affiliates, if any.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is presented because it approximates a key performance measure in our debt covenants, but it should not be considered an alternative measure of operating results or cash flow from operations as determined in accordance with GAAP. The reconciliation of net income to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for the three and nine months ended September 30, 2026 and 2025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80" w:type="dxa"/>
            <w:vAlign w:val="bottom"/>
          </w:tcPr>
          <w:p>
            <w:pPr>
              <w:spacing w:after="0"/>
              <w:rPr>
                <w:sz w:val="14"/>
                <w:szCs w:val="14"/>
                <w:color w:val="auto"/>
              </w:rPr>
            </w:pPr>
          </w:p>
        </w:tc>
        <w:tc>
          <w:tcPr>
            <w:tcW w:w="184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89"/>
        </w:trPr>
        <w:tc>
          <w:tcPr>
            <w:tcW w:w="6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6"/>
                <w:szCs w:val="16"/>
                <w:color w:val="auto"/>
              </w:rPr>
            </w:pPr>
          </w:p>
        </w:tc>
      </w:tr>
      <w:tr>
        <w:trPr>
          <w:trHeight w:val="21"/>
        </w:trPr>
        <w:tc>
          <w:tcPr>
            <w:tcW w:w="6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0"/>
        </w:trPr>
        <w:tc>
          <w:tcPr>
            <w:tcW w:w="6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
        </w:trPr>
        <w:tc>
          <w:tcPr>
            <w:tcW w:w="6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1"/>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CCEEFF"/>
            </w:tcBorders>
            <w:shd w:val="clear" w:color="auto" w:fill="CCEE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10,018</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67,149</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33,029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32,014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95,290</w:t>
            </w:r>
          </w:p>
        </w:tc>
      </w:tr>
      <w:tr>
        <w:trPr>
          <w:trHeight w:val="21"/>
        </w:trPr>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net</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19,971</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19,773</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59,609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58,337</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(1,083)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(3,460)</w:t>
            </w:r>
          </w:p>
        </w:tc>
      </w:tr>
      <w:tr>
        <w:trPr>
          <w:trHeight w:val="21"/>
        </w:trPr>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6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r>
      <w:tr>
        <w:trPr>
          <w:trHeight w:val="21"/>
        </w:trPr>
        <w:tc>
          <w:tcPr>
            <w:tcW w:w="6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6"/>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3"/>
                <w:szCs w:val="13"/>
                <w:i w:val="1"/>
                <w:iCs w:val="1"/>
                <w:color w:val="auto"/>
              </w:rPr>
              <w:t>re</w:t>
            </w:r>
          </w:p>
        </w:tc>
        <w:tc>
          <w:tcPr>
            <w:tcW w:w="66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62,475</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56,781</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179,629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173,531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14184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71"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37</w:t>
      </w:r>
    </w:p>
    <w:p>
      <w:pPr>
        <w:sectPr>
          <w:pgSz w:w="11900" w:h="16838" w:orient="portrait"/>
          <w:cols w:equalWidth="0" w:num="1">
            <w:col w:w="11260"/>
          </w:cols>
          <w:pgMar w:left="320" w:top="401" w:right="31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4946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Funds From Operations (FFO): </w:t>
      </w:r>
      <w:r>
        <w:rPr>
          <w:rFonts w:ascii="Times New Roman" w:cs="Times New Roman" w:eastAsia="Times New Roman" w:hAnsi="Times New Roman"/>
          <w:sz w:val="13"/>
          <w:szCs w:val="13"/>
          <w:color w:val="auto"/>
        </w:rPr>
        <w:t>FFO is a supplemental measure of real estate companies' operating performances. NAREIT defines FFO as follows: net income, computed in accordance with GAAP plus depreciation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amortization of real estate assets and excluding extraordinary items, gains and losses on sale of real estate and impairment losses.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9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Funds Available for Distribution (FAD): </w:t>
      </w:r>
      <w:r>
        <w:rPr>
          <w:rFonts w:ascii="Times New Roman" w:cs="Times New Roman" w:eastAsia="Times New Roman" w:hAnsi="Times New Roman"/>
          <w:sz w:val="12"/>
          <w:szCs w:val="12"/>
          <w:color w:val="auto"/>
        </w:rPr>
        <w:t>FAD is a supplemental measure of our liquidity. We compute FAD by subtracting from FFO second generation tenant improvements and leasing commissions and recurring capital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expenditures, eliminating the net effect of straight-line rents, amortization of above (below) market rents for acquisition properties, the effects of other lease intangibles, adding noncash amortization of deferred financing costs and debt fair value adjustments, adding noncash compensation expense, and adding (subtracting) unrealized losses (gains) on marketable securities. Recurring capital expenditures exclude spending related to repositioning initiatives at operating properties, such as building improvements intended to attract tenants and increase revenues and/or occupancy rates at properties designated for such initiatives, as well as planned capital expenditures identified at the time of acquisition, such as building improvements necessary to bring an acquired property to our operational standards, and tenant improvements and leasing commissions incurred prior to an acquired property reaching stabilization. FAD provides an additional perspective on our ability to fund cash needs and make distributions by adjusting FFO for the impact of certain cash and noncash items, as well as adjusting FFO for recurring capital expenditures and leasing costs. However, other REITs may use different methodologies for calculating FAD and, accordingly, our FAD may not be comparable to other REITs.</w:t>
      </w:r>
    </w:p>
    <w:p>
      <w:pPr>
        <w:spacing w:after="0" w:line="18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Net Operating Income (NOI): </w:t>
      </w:r>
      <w:r>
        <w:rPr>
          <w:rFonts w:ascii="Times New Roman" w:cs="Times New Roman" w:eastAsia="Times New Roman" w:hAnsi="Times New Roman"/>
          <w:sz w:val="13"/>
          <w:szCs w:val="13"/>
          <w:color w:val="auto"/>
        </w:rPr>
        <w:t>We define NOI as operating revenues (rental income, tenant reimbursements, lease termination fees, ground lease rental income and other property income) less property and related expenses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other REITs. Since NOI excludes general and administrative expenses, interest expense, depreciation and amortization, acquisition-related expenses, other nonproperty income and losses, gains and losses from property dispositions, and extraordinary items, 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 However, NOI should not be viewed as an alternative measure of our financial performance since it does not reflect general and administrative expenses, interest expense, depreciation and amortization costs, other nonproperty income and losses, the level of capital expenditures and leasing costs necessary to maintain the operating performance of the properties, or trends in development and construction activities which are significant economic costs and activities that could materially impact our results from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NOI to net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21"/>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NOI</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71,134</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66,281</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205,983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201,193</w:t>
            </w:r>
          </w:p>
        </w:tc>
        <w:tc>
          <w:tcPr>
            <w:tcW w:w="0" w:type="dxa"/>
            <w:vAlign w:val="bottom"/>
          </w:tcPr>
          <w:p>
            <w:pPr>
              <w:spacing w:after="0"/>
              <w:rPr>
                <w:sz w:val="1"/>
                <w:szCs w:val="1"/>
                <w:color w:val="auto"/>
              </w:rPr>
            </w:pPr>
          </w:p>
        </w:tc>
      </w:tr>
      <w:tr>
        <w:trPr>
          <w:trHeight w:val="168"/>
        </w:trPr>
        <w:tc>
          <w:tcPr>
            <w:tcW w:w="6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(27,662)</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(32,014)</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(98,052)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(95,290)</w:t>
            </w:r>
          </w:p>
        </w:tc>
        <w:tc>
          <w:tcPr>
            <w:tcW w:w="0" w:type="dxa"/>
            <w:vAlign w:val="bottom"/>
          </w:tcPr>
          <w:p>
            <w:pPr>
              <w:spacing w:after="0"/>
              <w:rPr>
                <w:sz w:val="1"/>
                <w:szCs w:val="1"/>
                <w:color w:val="auto"/>
              </w:rPr>
            </w:pPr>
          </w:p>
        </w:tc>
      </w:tr>
      <w:tr>
        <w:trPr>
          <w:trHeight w:val="168"/>
        </w:trPr>
        <w:tc>
          <w:tcPr>
            <w:tcW w:w="6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21"/>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29,446</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24,767</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81,577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122,717</w:t>
            </w:r>
          </w:p>
        </w:tc>
        <w:tc>
          <w:tcPr>
            <w:tcW w:w="0" w:type="dxa"/>
            <w:vAlign w:val="bottom"/>
          </w:tcPr>
          <w:p>
            <w:pPr>
              <w:spacing w:after="0"/>
              <w:rPr>
                <w:sz w:val="1"/>
                <w:szCs w:val="1"/>
                <w:color w:val="auto"/>
              </w:rPr>
            </w:pPr>
          </w:p>
        </w:tc>
      </w:tr>
      <w:tr>
        <w:trPr>
          <w:trHeight w:val="168"/>
        </w:trPr>
        <w:tc>
          <w:tcPr>
            <w:tcW w:w="6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(58,337)</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0" w:type="dxa"/>
            <w:vAlign w:val="bottom"/>
          </w:tcPr>
          <w:p>
            <w:pPr>
              <w:spacing w:after="0"/>
              <w:rPr>
                <w:sz w:val="1"/>
                <w:szCs w:val="1"/>
                <w:color w:val="auto"/>
              </w:rPr>
            </w:pPr>
          </w:p>
        </w:tc>
      </w:tr>
      <w:tr>
        <w:trPr>
          <w:trHeight w:val="160"/>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80" w:type="dxa"/>
            <w:vAlign w:val="bottom"/>
          </w:tcPr>
          <w:p>
            <w:pPr>
              <w:spacing w:after="0"/>
              <w:rPr>
                <w:sz w:val="13"/>
                <w:szCs w:val="13"/>
                <w:color w:val="auto"/>
              </w:rPr>
            </w:pPr>
          </w:p>
        </w:tc>
        <w:tc>
          <w:tcPr>
            <w:tcW w:w="3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6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80" w:type="dxa"/>
            <w:vAlign w:val="bottom"/>
          </w:tcPr>
          <w:p>
            <w:pPr>
              <w:spacing w:after="0"/>
              <w:rPr>
                <w:sz w:val="13"/>
                <w:szCs w:val="13"/>
                <w:color w:val="auto"/>
              </w:rPr>
            </w:pPr>
          </w:p>
        </w:tc>
        <w:tc>
          <w:tcPr>
            <w:tcW w:w="3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67,149</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restricted shares</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168"/>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unitholders in the Operating Partnership</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(14,033)</w:t>
            </w:r>
          </w:p>
        </w:tc>
        <w:tc>
          <w:tcPr>
            <w:tcW w:w="0" w:type="dxa"/>
            <w:vAlign w:val="bottom"/>
          </w:tcPr>
          <w:p>
            <w:pPr>
              <w:spacing w:after="0"/>
              <w:rPr>
                <w:sz w:val="1"/>
                <w:szCs w:val="1"/>
                <w:color w:val="auto"/>
              </w:rPr>
            </w:pPr>
          </w:p>
        </w:tc>
      </w:tr>
      <w:tr>
        <w:trPr>
          <w:trHeight w:val="21"/>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American Assets Trust, Inc. stockholders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Overall Portfolio: </w:t>
            </w:r>
            <w:r>
              <w:rPr>
                <w:rFonts w:ascii="Times New Roman" w:cs="Times New Roman" w:eastAsia="Times New Roman" w:hAnsi="Times New Roman"/>
                <w:sz w:val="13"/>
                <w:szCs w:val="13"/>
                <w:color w:val="auto"/>
              </w:rPr>
              <w:t>Includes all operating properties owned by us as of September 30, 2026.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714184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070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38</w:t>
      </w:r>
    </w:p>
    <w:p>
      <w:pPr>
        <w:sectPr>
          <w:pgSz w:w="11900" w:h="16838" w:orient="portrait"/>
          <w:cols w:equalWidth="0" w:num="1">
            <w:col w:w="11260"/>
          </w:cols>
          <w:pgMar w:left="320" w:top="401" w:right="319" w:bottom="1440" w:gutter="0" w:footer="0" w:header="0"/>
        </w:sectPr>
      </w:pPr>
    </w:p>
    <w:bookmarkStart w:id="50" w:name="page51"/>
    <w:bookmarkEnd w:id="50"/>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 w:right="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Cash NOI: </w:t>
      </w:r>
      <w:r>
        <w:rPr>
          <w:rFonts w:ascii="Times New Roman" w:cs="Times New Roman" w:eastAsia="Times New Roman" w:hAnsi="Times New Roman"/>
          <w:sz w:val="12"/>
          <w:szCs w:val="12"/>
          <w:color w:val="auto"/>
        </w:rPr>
        <w:t>We define cash NOI as operating revenues (rental income, tenant reimbursements (other than tenant improvement reimbursements), ground lease rental income and other property income) less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related expenses (property expenses, ground lease expense, property marketing costs, real estate taxes and insurance), adjusted for non-cash revenue and operating expense items such as straight-line rent, amortization of lease intangibles, amortization of lease incentives and other adjustments. Cash NOI also excludes lease termination fees, tenant improvement reimbursements, general and administrative expenses, depreciation and amortization, interest expense, other non-property income and losses, acquisition-related expense, gains and losses from property dispositions, extraordinary items, tenant improvements, and leasing commissions. Other REITs may use different methodologies for calculating cash NOI, and accordingly, our cash NOI may not be comparable to the cash NOIs of other REITs. We believe cash NOI provides useful information to investors regarding the company's financial condition and results of operations because it reflects only those income and expense items that are incurred at the property level, and when compared across periods, can be used to determine trends in earnings of the company's properties as this measure is not affected by (1) the non-cash revenue and expense recognition items, (2) the cost of funds of the property owner, (3) the impact of depreciation and amortization expenses as well as gains or losses from the sale of operating real estate assets that are included in net income computed in accordance with GAAP or (4) general and administrative expenses and other gains and losses that are specific to the property owner. We believe the exclusion of these items from net (loss) income is useful because the resulting measure captures the actual revenue generated and actual expenses incurred in operating the company's properties as well as trends in occupancy rates, rental rates and operating costs. Cash NOI is a measure of the operating performance of the company's properties but does not measure the company's performance as a whole. Cash NOI is therefore not a substitute for net income as computed in accordance with GAAP. A Reconciliation of Total Cash NOI to Net Income is presented below:</w:t>
      </w:r>
    </w:p>
    <w:p>
      <w:pPr>
        <w:spacing w:after="0" w:line="91"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Total Cash NOI to Net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21"/>
        </w:trPr>
        <w:tc>
          <w:tcPr>
            <w:tcW w:w="66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Total Cash NOI</w:t>
            </w: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69,671</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64,319</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202,233</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197,452</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termination fees and tenant improvement reimbursements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 xml:space="preserve">Non-cash revenue and other operating expenses </w:t>
            </w:r>
            <w:r>
              <w:rPr>
                <w:rFonts w:ascii="Times New Roman" w:cs="Times New Roman" w:eastAsia="Times New Roman" w:hAnsi="Times New Roman"/>
                <w:sz w:val="16"/>
                <w:szCs w:val="16"/>
                <w:color w:val="auto"/>
                <w:vertAlign w:val="superscript"/>
              </w:rPr>
              <w:t>(1)</w:t>
            </w:r>
          </w:p>
        </w:tc>
        <w:tc>
          <w:tcPr>
            <w:tcW w:w="240" w:type="dxa"/>
            <w:vAlign w:val="bottom"/>
            <w:shd w:val="clear" w:color="auto" w:fill="BFE4FF"/>
          </w:tcPr>
          <w:p>
            <w:pPr>
              <w:spacing w:after="0"/>
              <w:rPr>
                <w:sz w:val="16"/>
                <w:szCs w:val="16"/>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shd w:val="clear" w:color="auto" w:fill="BFE4FF"/>
          </w:tcPr>
          <w:p>
            <w:pPr>
              <w:spacing w:after="0"/>
              <w:rPr>
                <w:sz w:val="16"/>
                <w:szCs w:val="16"/>
                <w:color w:val="auto"/>
              </w:rPr>
            </w:pPr>
          </w:p>
        </w:tc>
        <w:tc>
          <w:tcPr>
            <w:tcW w:w="240" w:type="dxa"/>
            <w:vAlign w:val="bottom"/>
            <w:shd w:val="clear" w:color="auto" w:fill="BFE4FF"/>
          </w:tcPr>
          <w:p>
            <w:pPr>
              <w:spacing w:after="0"/>
              <w:rPr>
                <w:sz w:val="16"/>
                <w:szCs w:val="16"/>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8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(27,662)</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tcBorders>
              <w:bottom w:val="single" w:sz="8" w:color="BFE4FF"/>
            </w:tcBorders>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Borders>
              <w:bottom w:val="single" w:sz="8" w:color="BFE4FF"/>
            </w:tcBorders>
            <w:shd w:val="clear" w:color="auto" w:fill="BFE4FF"/>
          </w:tcPr>
          <w:p>
            <w:pPr>
              <w:spacing w:after="0"/>
              <w:rPr>
                <w:sz w:val="14"/>
                <w:szCs w:val="14"/>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(33,029)</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spacing w:after="0"/>
              <w:rPr>
                <w:sz w:val="14"/>
                <w:szCs w:val="14"/>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(32,014)</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spacing w:after="0"/>
              <w:rPr>
                <w:sz w:val="14"/>
                <w:szCs w:val="14"/>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(98,052)</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spacing w:after="0"/>
              <w:rPr>
                <w:sz w:val="14"/>
                <w:szCs w:val="14"/>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(95,290)</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21"/>
        </w:trPr>
        <w:tc>
          <w:tcPr>
            <w:tcW w:w="66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29,446</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24,767</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81,577</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122,717</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(58,337)</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Borders>
              <w:bottom w:val="single" w:sz="8" w:color="BFE4FF"/>
            </w:tcBorders>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BFE4FF"/>
            </w:tcBorders>
            <w:shd w:val="clear" w:color="auto" w:fill="BFE4FF"/>
          </w:tcPr>
          <w:p>
            <w:pPr>
              <w:spacing w:after="0"/>
              <w:rPr>
                <w:sz w:val="16"/>
                <w:szCs w:val="16"/>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140" w:type="dxa"/>
            <w:vAlign w:val="bottom"/>
            <w:tcBorders>
              <w:bottom w:val="single" w:sz="8" w:color="BFE4FF"/>
            </w:tcBorders>
            <w:shd w:val="clear" w:color="auto" w:fill="BFE4FF"/>
          </w:tcPr>
          <w:p>
            <w:pPr>
              <w:spacing w:after="0"/>
              <w:rPr>
                <w:sz w:val="16"/>
                <w:szCs w:val="16"/>
                <w:color w:val="auto"/>
              </w:rPr>
            </w:pPr>
          </w:p>
        </w:tc>
        <w:tc>
          <w:tcPr>
            <w:tcW w:w="240" w:type="dxa"/>
            <w:vAlign w:val="bottom"/>
            <w:tcBorders>
              <w:bottom w:val="single" w:sz="8" w:color="BFE4FF"/>
            </w:tcBorders>
            <w:shd w:val="clear" w:color="auto" w:fill="BFE4FF"/>
          </w:tcPr>
          <w:p>
            <w:pPr>
              <w:spacing w:after="0"/>
              <w:rPr>
                <w:sz w:val="16"/>
                <w:szCs w:val="16"/>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0" w:type="dxa"/>
            <w:vAlign w:val="bottom"/>
          </w:tcPr>
          <w:p>
            <w:pPr>
              <w:spacing w:after="0"/>
              <w:rPr>
                <w:sz w:val="1"/>
                <w:szCs w:val="1"/>
                <w:color w:val="auto"/>
              </w:rPr>
            </w:pPr>
          </w:p>
        </w:tc>
      </w:tr>
      <w:tr>
        <w:trPr>
          <w:trHeight w:val="181"/>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67,149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85" w:right="20" w:hanging="285"/>
        <w:spacing w:after="0" w:line="258" w:lineRule="auto"/>
        <w:tabs>
          <w:tab w:leader="none" w:pos="27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14184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39</w:t>
      </w:r>
    </w:p>
    <w:p>
      <w:pPr>
        <w:sectPr>
          <w:pgSz w:w="11900" w:h="16838" w:orient="portrait"/>
          <w:cols w:equalWidth="0" w:num="1">
            <w:col w:w="11265"/>
          </w:cols>
          <w:pgMar w:left="315" w:top="401" w:right="319" w:bottom="1440" w:gutter="0" w:footer="0" w:header="0"/>
        </w:sectPr>
      </w:pPr>
    </w:p>
    <w:bookmarkStart w:id="51" w:name="page52"/>
    <w:bookmarkEnd w:id="51"/>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 w:right="120"/>
        <w:spacing w:after="0" w:line="249" w:lineRule="auto"/>
        <w:rPr>
          <w:sz w:val="20"/>
          <w:szCs w:val="20"/>
          <w:color w:val="auto"/>
        </w:rPr>
      </w:pPr>
      <w:r>
        <w:rPr>
          <w:rFonts w:ascii="Times New Roman" w:cs="Times New Roman" w:eastAsia="Times New Roman" w:hAnsi="Times New Roman"/>
          <w:sz w:val="13"/>
          <w:szCs w:val="13"/>
          <w:b w:val="1"/>
          <w:bCs w:val="1"/>
          <w:color w:val="auto"/>
        </w:rPr>
        <w:t xml:space="preserve">Same-Store Portfolio and Non-Same-Store Portfolio: </w:t>
      </w:r>
      <w:r>
        <w:rPr>
          <w:rFonts w:ascii="Times New Roman" w:cs="Times New Roman" w:eastAsia="Times New Roman" w:hAnsi="Times New Roman"/>
          <w:sz w:val="13"/>
          <w:szCs w:val="13"/>
          <w:color w:val="auto"/>
        </w:rPr>
        <w:t>Information provided on a same-store basis includes the results of properties that we owned and operated for the entirety of both periods being compared except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properties for which significant redevelopment or expansion occurred during either of the periods being compared, properties under development, properties classified as held for development and properties classified as discontinued operations. The following table shows the properties included in the same-store and non-same-store portfolio for the comparative periods presented. A reconciliation of Same-Store Cash NOI to Net Income is presented below:</w:t>
      </w:r>
    </w:p>
    <w:p>
      <w:pPr>
        <w:spacing w:after="0" w:line="241"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Three Months Ended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2000" w:type="dxa"/>
            <w:vAlign w:val="bottom"/>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xml:space="preserve">Nine Months Ended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66"/>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of Same-Store Cash NOI Comparison to Operating Income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21"/>
        </w:trPr>
        <w:tc>
          <w:tcPr>
            <w:tcW w:w="66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Same-Store Cash NOI</w:t>
            </w: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69,759</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64,441</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202,334</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197,768</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Non-Same-Store Cash NOI</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1"/>
        </w:trPr>
        <w:tc>
          <w:tcPr>
            <w:tcW w:w="66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Total Cash NOI</w:t>
            </w: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69,671</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64,319</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202,233</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197,452</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Lease termination fees and tenant improvement reimbursements </w:t>
            </w:r>
            <w:r>
              <w:rPr>
                <w:rFonts w:ascii="Times New Roman" w:cs="Times New Roman" w:eastAsia="Times New Roman" w:hAnsi="Times New Roman"/>
                <w:sz w:val="16"/>
                <w:szCs w:val="16"/>
                <w:color w:val="auto"/>
                <w:vertAlign w:val="superscript"/>
              </w:rPr>
              <w:t>(3)</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w:t>
            </w:r>
          </w:p>
        </w:tc>
        <w:tc>
          <w:tcPr>
            <w:tcW w:w="0" w:type="dxa"/>
            <w:vAlign w:val="bottom"/>
          </w:tcPr>
          <w:p>
            <w:pPr>
              <w:spacing w:after="0"/>
              <w:rPr>
                <w:sz w:val="1"/>
                <w:szCs w:val="1"/>
                <w:color w:val="auto"/>
              </w:rPr>
            </w:pPr>
          </w:p>
        </w:tc>
      </w:tr>
      <w:tr>
        <w:trPr>
          <w:trHeight w:val="189"/>
        </w:trPr>
        <w:tc>
          <w:tcPr>
            <w:tcW w:w="66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 xml:space="preserve">Non-cash revenue and other operating expenses </w:t>
            </w:r>
            <w:r>
              <w:rPr>
                <w:rFonts w:ascii="Times New Roman" w:cs="Times New Roman" w:eastAsia="Times New Roman" w:hAnsi="Times New Roman"/>
                <w:sz w:val="16"/>
                <w:szCs w:val="16"/>
                <w:color w:val="auto"/>
                <w:vertAlign w:val="superscript"/>
              </w:rPr>
              <w:t>(4)</w:t>
            </w:r>
          </w:p>
        </w:tc>
        <w:tc>
          <w:tcPr>
            <w:tcW w:w="240" w:type="dxa"/>
            <w:vAlign w:val="bottom"/>
            <w:shd w:val="clear" w:color="auto" w:fill="BFE4FF"/>
          </w:tcPr>
          <w:p>
            <w:pPr>
              <w:spacing w:after="0"/>
              <w:rPr>
                <w:sz w:val="16"/>
                <w:szCs w:val="16"/>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shd w:val="clear" w:color="auto" w:fill="BFE4FF"/>
          </w:tcPr>
          <w:p>
            <w:pPr>
              <w:spacing w:after="0"/>
              <w:rPr>
                <w:sz w:val="16"/>
                <w:szCs w:val="16"/>
                <w:color w:val="auto"/>
              </w:rPr>
            </w:pPr>
          </w:p>
        </w:tc>
        <w:tc>
          <w:tcPr>
            <w:tcW w:w="240" w:type="dxa"/>
            <w:vAlign w:val="bottom"/>
            <w:shd w:val="clear" w:color="auto" w:fill="BFE4FF"/>
          </w:tcPr>
          <w:p>
            <w:pPr>
              <w:spacing w:after="0"/>
              <w:rPr>
                <w:sz w:val="16"/>
                <w:szCs w:val="16"/>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8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(27,662)</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tcBorders>
              <w:bottom w:val="single" w:sz="8" w:color="BFE4FF"/>
            </w:tcBorders>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Borders>
              <w:bottom w:val="single" w:sz="8" w:color="BFE4FF"/>
            </w:tcBorders>
            <w:shd w:val="clear" w:color="auto" w:fill="BFE4FF"/>
          </w:tcPr>
          <w:p>
            <w:pPr>
              <w:spacing w:after="0"/>
              <w:rPr>
                <w:sz w:val="14"/>
                <w:szCs w:val="14"/>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(33,029)</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spacing w:after="0"/>
              <w:rPr>
                <w:sz w:val="14"/>
                <w:szCs w:val="14"/>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(32,014)</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spacing w:after="0"/>
              <w:rPr>
                <w:sz w:val="14"/>
                <w:szCs w:val="14"/>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(98,052)</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spacing w:after="0"/>
              <w:rPr>
                <w:sz w:val="14"/>
                <w:szCs w:val="14"/>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(95,290)</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44,476</w:t>
            </w:r>
          </w:p>
        </w:tc>
        <w:tc>
          <w:tcPr>
            <w:tcW w:w="0" w:type="dxa"/>
            <w:vAlign w:val="bottom"/>
          </w:tcPr>
          <w:p>
            <w:pPr>
              <w:spacing w:after="0"/>
              <w:rPr>
                <w:sz w:val="1"/>
                <w:szCs w:val="1"/>
                <w:color w:val="auto"/>
              </w:rPr>
            </w:pPr>
          </w:p>
        </w:tc>
      </w:tr>
      <w:tr>
        <w:trPr>
          <w:trHeight w:val="21"/>
        </w:trPr>
        <w:tc>
          <w:tcPr>
            <w:tcW w:w="66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29,446</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24,767</w:t>
            </w:r>
          </w:p>
        </w:tc>
        <w:tc>
          <w:tcPr>
            <w:tcW w:w="1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81,577</w:t>
            </w:r>
          </w:p>
        </w:tc>
        <w:tc>
          <w:tcPr>
            <w:tcW w:w="80" w:type="dxa"/>
            <w:vAlign w:val="bottom"/>
            <w:tcBorders>
              <w:bottom w:val="single" w:sz="8" w:color="BFE4FF"/>
            </w:tcBorders>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122,717</w:t>
            </w:r>
          </w:p>
        </w:tc>
        <w:tc>
          <w:tcPr>
            <w:tcW w:w="0" w:type="dxa"/>
            <w:vAlign w:val="bottom"/>
          </w:tcPr>
          <w:p>
            <w:pPr>
              <w:spacing w:after="0"/>
              <w:rPr>
                <w:sz w:val="1"/>
                <w:szCs w:val="1"/>
                <w:color w:val="auto"/>
              </w:rPr>
            </w:pPr>
          </w:p>
        </w:tc>
      </w:tr>
      <w:tr>
        <w:trPr>
          <w:trHeight w:val="168"/>
        </w:trPr>
        <w:tc>
          <w:tcPr>
            <w:tcW w:w="6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net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(58,337)</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Borders>
              <w:bottom w:val="single" w:sz="8" w:color="BFE4FF"/>
            </w:tcBorders>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40" w:type="dxa"/>
            <w:vAlign w:val="bottom"/>
            <w:tcBorders>
              <w:bottom w:val="single" w:sz="8" w:color="BFE4FF"/>
            </w:tcBorders>
            <w:shd w:val="clear" w:color="auto" w:fill="BFE4FF"/>
          </w:tcPr>
          <w:p>
            <w:pPr>
              <w:spacing w:after="0"/>
              <w:rPr>
                <w:sz w:val="16"/>
                <w:szCs w:val="16"/>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140" w:type="dxa"/>
            <w:vAlign w:val="bottom"/>
            <w:tcBorders>
              <w:bottom w:val="single" w:sz="8" w:color="BFE4FF"/>
            </w:tcBorders>
            <w:shd w:val="clear" w:color="auto" w:fill="BFE4FF"/>
          </w:tcPr>
          <w:p>
            <w:pPr>
              <w:spacing w:after="0"/>
              <w:rPr>
                <w:sz w:val="16"/>
                <w:szCs w:val="16"/>
                <w:color w:val="auto"/>
              </w:rPr>
            </w:pPr>
          </w:p>
        </w:tc>
        <w:tc>
          <w:tcPr>
            <w:tcW w:w="240" w:type="dxa"/>
            <w:vAlign w:val="bottom"/>
            <w:tcBorders>
              <w:bottom w:val="single" w:sz="8" w:color="BFE4FF"/>
            </w:tcBorders>
            <w:shd w:val="clear" w:color="auto" w:fill="BFE4FF"/>
          </w:tcPr>
          <w:p>
            <w:pPr>
              <w:spacing w:after="0"/>
              <w:rPr>
                <w:sz w:val="16"/>
                <w:szCs w:val="16"/>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tcBorders>
              <w:bottom w:val="single" w:sz="8" w:color="BFE4FF"/>
            </w:tcBorders>
            <w:shd w:val="clear" w:color="auto" w:fill="BFE4FF"/>
          </w:tcPr>
          <w:p>
            <w:pPr>
              <w:spacing w:after="0"/>
              <w:rPr>
                <w:sz w:val="16"/>
                <w:szCs w:val="16"/>
                <w:color w:val="auto"/>
              </w:rPr>
            </w:pPr>
          </w:p>
        </w:tc>
        <w:tc>
          <w:tcPr>
            <w:tcW w:w="380" w:type="dxa"/>
            <w:vAlign w:val="bottom"/>
            <w:tcBorders>
              <w:bottom w:val="single" w:sz="8" w:color="BFE4FF"/>
            </w:tcBorders>
            <w:shd w:val="clear" w:color="auto" w:fill="BFE4FF"/>
          </w:tcPr>
          <w:p>
            <w:pPr>
              <w:spacing w:after="0"/>
              <w:rPr>
                <w:sz w:val="16"/>
                <w:szCs w:val="16"/>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0" w:type="dxa"/>
            <w:vAlign w:val="bottom"/>
          </w:tcPr>
          <w:p>
            <w:pPr>
              <w:spacing w:after="0"/>
              <w:rPr>
                <w:sz w:val="1"/>
                <w:szCs w:val="1"/>
                <w:color w:val="auto"/>
              </w:rPr>
            </w:pPr>
          </w:p>
        </w:tc>
      </w:tr>
      <w:tr>
        <w:trPr>
          <w:trHeight w:val="181"/>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67,149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85" w:right="120" w:hanging="285"/>
        <w:spacing w:after="0" w:line="248" w:lineRule="auto"/>
        <w:tabs>
          <w:tab w:leader="none" w:pos="27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September 30, 2026, the same-store portfolio includes: (i) Genesee Park (multifamily), which was acquired on February 28, 2025, and (ii) La Jolla Commons III (office), which was placed into service on April 1, 2025. The same-store portfolio excludes land held for development.</w:t>
      </w:r>
    </w:p>
    <w:p>
      <w:pPr>
        <w:ind w:left="285" w:right="60" w:hanging="285"/>
        <w:spacing w:after="0" w:line="245" w:lineRule="auto"/>
        <w:tabs>
          <w:tab w:leader="none" w:pos="27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nine months ended September 30, 2026, the same-store portfolio excludes: (i) Del Monte Center (retail), which was sold on February 25, 2025, (ii) Genesee Park (multifamily), which was acquired on February 28, 2025, (iii) La Jolla Commons III (office), which was placed into service on April 1, 2025 and (iv) land held for development.</w:t>
      </w:r>
    </w:p>
    <w:p>
      <w:pPr>
        <w:ind w:left="265" w:hanging="265"/>
        <w:spacing w:after="0"/>
        <w:tabs>
          <w:tab w:leader="none" w:pos="26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termination fees and tenant improvement reimbursements are excluded from same-store cash NOI to provide a more accurate measure of operating performance.</w:t>
      </w:r>
    </w:p>
    <w:p>
      <w:pPr>
        <w:spacing w:after="0" w:line="14" w:lineRule="exact"/>
        <w:rPr>
          <w:rFonts w:ascii="Times New Roman" w:cs="Times New Roman" w:eastAsia="Times New Roman" w:hAnsi="Times New Roman"/>
          <w:sz w:val="13"/>
          <w:szCs w:val="13"/>
          <w:color w:val="auto"/>
        </w:rPr>
      </w:pPr>
    </w:p>
    <w:p>
      <w:pPr>
        <w:ind w:left="285" w:right="60" w:hanging="285"/>
        <w:spacing w:after="0" w:line="250" w:lineRule="auto"/>
        <w:tabs>
          <w:tab w:leader="none" w:pos="27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related to the straight-line rent income recognized during the period offset by cash received during the period and the provision for bad debts recorded for deferred rent receivable balances; the amortization of above (below) market rents, the amortization of lease incentives paid to tenants, the amortization of other lease intangibles and straight-line rent expense for our leases of the Annex at The Landmark at One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1068705</wp:posOffset>
            </wp:positionV>
            <wp:extent cx="714184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40</w:t>
      </w:r>
    </w:p>
    <w:p>
      <w:pPr>
        <w:sectPr>
          <w:pgSz w:w="11900" w:h="16838" w:orient="portrait"/>
          <w:cols w:equalWidth="0" w:num="1">
            <w:col w:w="11265"/>
          </w:cols>
          <w:pgMar w:left="315" w:top="40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714946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Comparison of Three Months Ended</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Comparison of Nine Months Ended</w:t>
            </w: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September 30, 2026 to 2025</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September 30, 2026 to 2025</w:t>
            </w: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Same-Store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Non-Same-Store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Same-Store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Non-Same-Store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4"/>
              </w:rPr>
              <w:t>Office Properties</w:t>
            </w:r>
          </w:p>
        </w:tc>
        <w:tc>
          <w:tcPr>
            <w:tcW w:w="3440" w:type="dxa"/>
            <w:vAlign w:val="bottom"/>
            <w:tcBorders>
              <w:bottom w:val="single" w:sz="8" w:color="CCEEFF"/>
            </w:tcBorders>
            <w:gridSpan w:val="4"/>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 xml:space="preserve">La Jolla Commons </w:t>
            </w:r>
            <w:r>
              <w:rPr>
                <w:rFonts w:ascii="Times New Roman" w:cs="Times New Roman" w:eastAsia="Times New Roman" w:hAnsi="Times New Roman"/>
                <w:sz w:val="16"/>
                <w:szCs w:val="16"/>
                <w:color w:val="auto"/>
                <w:vertAlign w:val="superscript"/>
              </w:rPr>
              <w:t>(1)</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Coastal Collection at Torrey Reserve (formerly Torrey Reserve Campus)</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Torrey Point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Solana Crossing</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Landmark at One Market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One Beach Street </w:t>
            </w:r>
            <w:r>
              <w:rPr>
                <w:rFonts w:ascii="Times New Roman" w:cs="Times New Roman" w:eastAsia="Times New Roman" w:hAnsi="Times New Roman"/>
                <w:sz w:val="16"/>
                <w:szCs w:val="16"/>
                <w:color w:val="auto"/>
                <w:vertAlign w:val="superscript"/>
              </w:rPr>
              <w:t>(2)</w:t>
            </w: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shd w:val="clear" w:color="auto" w:fill="CCEEFF"/>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First &amp; Main</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Lloyd Portfolio</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City Center Bellevue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14Acres</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Timber Ridge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Timber Springs</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Retail Properties</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Carmel Country Plaza</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Carmel Mountain Plaza</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Bay Marketplace</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Gateway Marketplace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Lomas Santa Fe Plaza</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Solana Beach Towne Centre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Geary Marketplace</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Shops at Kalakaua</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Waikele Center</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Alamo Quarry Market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Hassalo on Eighth - Retail</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Multifamily Properties</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Loma Palisades</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Imperial Beach Gardens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Mariner's Point</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Santa Fe Park RV Resort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Pacific Ridge Apartments</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 xml:space="preserve">Genesee Park </w:t>
            </w:r>
            <w:r>
              <w:rPr>
                <w:rFonts w:ascii="Times New Roman" w:cs="Times New Roman" w:eastAsia="Times New Roman" w:hAnsi="Times New Roman"/>
                <w:sz w:val="16"/>
                <w:szCs w:val="16"/>
                <w:color w:val="auto"/>
                <w:vertAlign w:val="superscript"/>
              </w:rPr>
              <w:t>(3)</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Hassalo on Eighth</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Mixed-Use Properties</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Waikiki Beach Walk - Retail</w:t>
            </w: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Waikiki Beach Walk - Embassy Suites™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Development Properties</w:t>
            </w:r>
          </w:p>
        </w:tc>
        <w:tc>
          <w:tcPr>
            <w:tcW w:w="306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Solana Crossing - Land</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Lloyd Portfolio - Land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443230</wp:posOffset>
            </wp:positionV>
            <wp:extent cx="714184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41</w:t>
      </w:r>
    </w:p>
    <w:p>
      <w:pPr>
        <w:sectPr>
          <w:pgSz w:w="11900" w:h="16838" w:orient="portrait"/>
          <w:cols w:equalWidth="0" w:num="1">
            <w:col w:w="11200"/>
          </w:cols>
          <w:pgMar w:left="340" w:top="401" w:right="359" w:bottom="1440" w:gutter="0" w:footer="0" w:header="0"/>
        </w:sectPr>
      </w:pPr>
    </w:p>
    <w:bookmarkStart w:id="53" w:name="page54"/>
    <w:bookmarkEnd w:id="53"/>
    <w:p>
      <w:pPr>
        <w:ind w:left="25"/>
        <w:spacing w:after="0"/>
        <w:rPr>
          <w:sz w:val="20"/>
          <w:szCs w:val="20"/>
          <w:color w:val="auto"/>
        </w:rPr>
      </w:pPr>
      <w:r>
        <w:rPr>
          <w:rFonts w:ascii="Times New Roman" w:cs="Times New Roman" w:eastAsia="Times New Roman" w:hAnsi="Times New Roman"/>
          <w:sz w:val="25"/>
          <w:szCs w:val="25"/>
          <w:b w:val="1"/>
          <w:bCs w:val="1"/>
          <w:color w:val="003366"/>
        </w:rPr>
        <w:drawing>
          <wp:anchor simplePos="0" relativeHeight="251657728" behindDoc="1" locked="0" layoutInCell="0" allowOverlap="1">
            <wp:simplePos x="0" y="0"/>
            <wp:positionH relativeFrom="page">
              <wp:posOffset>200025</wp:posOffset>
            </wp:positionH>
            <wp:positionV relativeFrom="page">
              <wp:posOffset>104140</wp:posOffset>
            </wp:positionV>
            <wp:extent cx="7149465" cy="307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307975"/>
                    </a:xfrm>
                    <a:prstGeom prst="rect">
                      <a:avLst/>
                    </a:prstGeom>
                    <a:noFill/>
                  </pic:spPr>
                </pic:pic>
              </a:graphicData>
            </a:graphic>
          </wp:anchor>
        </w:drawing>
        <w:t>GLOSSARY OF TERMS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946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85" w:right="260" w:hanging="285"/>
        <w:spacing w:after="0" w:line="261" w:lineRule="auto"/>
        <w:tabs>
          <w:tab w:leader="none" w:pos="30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 Jolla Commons Tower III is considered same-store for the three months ended September 30, 2026 and non-same-store for the nine months ended September 30, 2026</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 xml:space="preserve"> as it was placed into service on April 1, 2025.</w:t>
      </w:r>
    </w:p>
    <w:p>
      <w:pPr>
        <w:ind w:left="285" w:right="80" w:hanging="285"/>
        <w:spacing w:after="0"/>
        <w:tabs>
          <w:tab w:leader="none" w:pos="27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Beach Street and Lloyd Portfolio - Land were previously included as redevelopment property. One Beach Street is considered same-store for the three and nine months ended September 30, 2026 as it was placed into operations on August 1, 2024. Lloyd Portfolio - Land is not leased and has no active redevelopment activity; as such it is included within the non-same-store portfolio.</w:t>
      </w:r>
    </w:p>
    <w:p>
      <w:pPr>
        <w:ind w:left="265" w:hanging="265"/>
        <w:spacing w:after="0"/>
        <w:tabs>
          <w:tab w:leader="none" w:pos="26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Genesee Park is considered same-store for the three months ended September 30, 2026 and non-same-store for the nine months ended September 30, 2026, since it was acquired on February 28, 2025.</w:t>
      </w:r>
    </w:p>
    <w:p>
      <w:pPr>
        <w:spacing w:after="0" w:line="201" w:lineRule="exact"/>
        <w:rPr>
          <w:sz w:val="20"/>
          <w:szCs w:val="20"/>
          <w:color w:val="auto"/>
        </w:rPr>
      </w:pPr>
    </w:p>
    <w:p>
      <w:pPr>
        <w:ind w:left="5" w:right="300"/>
        <w:spacing w:after="0" w:line="316" w:lineRule="auto"/>
        <w:rPr>
          <w:sz w:val="20"/>
          <w:szCs w:val="20"/>
          <w:color w:val="auto"/>
        </w:rPr>
      </w:pPr>
      <w:r>
        <w:rPr>
          <w:rFonts w:ascii="Times New Roman" w:cs="Times New Roman" w:eastAsia="Times New Roman" w:hAnsi="Times New Roman"/>
          <w:sz w:val="12"/>
          <w:szCs w:val="12"/>
          <w:b w:val="1"/>
          <w:bCs w:val="1"/>
          <w:color w:val="auto"/>
        </w:rPr>
        <w:t xml:space="preserve">Tenant Improvements and Incentives: </w:t>
      </w:r>
      <w:r>
        <w:rPr>
          <w:rFonts w:ascii="Times New Roman" w:cs="Times New Roman" w:eastAsia="Times New Roman" w:hAnsi="Times New Roman"/>
          <w:sz w:val="12"/>
          <w:szCs w:val="12"/>
          <w:color w:val="auto"/>
        </w:rPr>
        <w:t>Represents not only the total dollars committed for the improvement (fit-out) of a space as it relates to a specific lease but may also include base building costs (i.e., expansion,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escalators, new entrances, etc.) which are required to make the space leasable. Incentives include amounts paid to tenants as an inducement to sign a lease that do not represent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714184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845" cy="762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5"/>
        <w:spacing w:after="0"/>
        <w:tabs>
          <w:tab w:leader="none" w:pos="10705" w:val="left"/>
        </w:tabs>
        <w:rPr>
          <w:sz w:val="20"/>
          <w:szCs w:val="20"/>
          <w:color w:val="auto"/>
        </w:rPr>
      </w:pPr>
      <w:r>
        <w:rPr>
          <w:rFonts w:ascii="Times New Roman" w:cs="Times New Roman" w:eastAsia="Times New Roman" w:hAnsi="Times New Roman"/>
          <w:sz w:val="16"/>
          <w:szCs w:val="16"/>
          <w:color w:val="003366"/>
        </w:rPr>
        <w:t>Third Quarter 2026 Supplemental Information</w:t>
      </w:r>
      <w:r>
        <w:rPr>
          <w:sz w:val="20"/>
          <w:szCs w:val="20"/>
          <w:color w:val="auto"/>
        </w:rPr>
        <w:tab/>
      </w:r>
      <w:r>
        <w:rPr>
          <w:rFonts w:ascii="Times New Roman" w:cs="Times New Roman" w:eastAsia="Times New Roman" w:hAnsi="Times New Roman"/>
          <w:sz w:val="15"/>
          <w:szCs w:val="15"/>
          <w:color w:val="003366"/>
        </w:rPr>
        <w:t>Page 42</w:t>
      </w:r>
    </w:p>
    <w:sectPr>
      <w:pgSz w:w="11900" w:h="16838" w:orient="portrait"/>
      <w:cols w:equalWidth="0" w:num="1">
        <w:col w:w="11225"/>
      </w:cols>
      <w:pgMar w:left="315" w:top="4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2"/>
      <w:numFmt w:val="decimal"/>
      <w:start w:val="104"/>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lvl w:ilvl="1">
      <w:lvlJc w:val="left"/>
      <w:lvlText w:val="•"/>
      <w:numFmt w:val="bullet"/>
      <w:start w:val="1"/>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decimal"/>
      <w:start w:val="1"/>
    </w:lvl>
    <w:lvl w:ilvl="1">
      <w:lvlJc w:val="left"/>
      <w:lvlText w:val="(%2)"/>
      <w:numFmt w:val="lowerLetter"/>
      <w:start w:val="1"/>
    </w:lvl>
  </w:abstractNum>
  <w:abstractNum w:abstractNumId="22">
    <w:nsid w:val="2901D82"/>
    <w:multiLevelType w:val="hybridMultilevel"/>
    <w:lvl w:ilvl="0">
      <w:lvlJc w:val="left"/>
      <w:lvlText w:val="(%1)"/>
      <w:numFmt w:val="decimal"/>
      <w:start w:val="10"/>
    </w:lvl>
    <w:lvl w:ilvl="1">
      <w:lvlJc w:val="left"/>
      <w:lvlText w:val="%2"/>
      <w:numFmt w:val="lowerLetter"/>
      <w:start w:val="1"/>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2026-10-27T15:23:47Z</dcterms:created>
  <dcterms:modified xsi:type="dcterms:W3CDTF">2026-10-27T15:23:47Z</dcterms:modified>
</cp:coreProperties>
</file>