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pPr>
      <w:r>
        <w:rPr>
          <w:rFonts w:ascii="Times New Roman;serif" w:hAnsi="Times New Roman;serif"/>
          <w:b/>
          <w:color w:val="000000"/>
          <w:sz w:val="32"/>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0" w:after="0"/>
        <w:jc w:val="center"/>
        <w:rPr/>
      </w:pPr>
      <w:r>
        <w:rPr>
          <w:rFonts w:ascii="Times New Roman;serif" w:hAnsi="Times New Roman;serif"/>
          <w:b/>
          <w:color w:val="000000"/>
          <w:sz w:val="32"/>
        </w:rPr>
        <w:t>FORM 8-K</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0" w:after="0"/>
        <w:jc w:val="center"/>
        <w:rPr/>
      </w:pPr>
      <w:r>
        <w:rPr>
          <w:rFonts w:ascii="Times New Roman;serif" w:hAnsi="Times New Roman;serif"/>
          <w:b/>
          <w:color w:val="000000"/>
          <w:sz w:val="24"/>
        </w:rPr>
        <w:t>CURRENT REPORT</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Pursuant to Section 13 or 15(d) of The Securities Exchange Act of 1934</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1,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before="60" w:after="60"/>
        <w:jc w:val="center"/>
        <w:rPr/>
      </w:pPr>
      <w:r>
        <w:rPr/>
        <w:drawing>
          <wp:inline distT="0" distB="0" distL="0" distR="0">
            <wp:extent cx="1657350" cy="857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8572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American Assets Trust,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tbl>
      <w:tblPr>
        <w:tblW w:w="4889" w:type="dxa"/>
        <w:jc w:val="center"/>
        <w:tblInd w:w="0" w:type="dxa"/>
        <w:tblLayout w:type="fixed"/>
        <w:tblCellMar>
          <w:top w:w="28" w:type="dxa"/>
          <w:left w:w="28" w:type="dxa"/>
          <w:bottom w:w="28" w:type="dxa"/>
          <w:right w:w="28" w:type="dxa"/>
        </w:tblCellMar>
      </w:tblPr>
      <w:tblGrid>
        <w:gridCol w:w="782"/>
        <w:gridCol w:w="686"/>
        <w:gridCol w:w="692"/>
        <w:gridCol w:w="388"/>
        <w:gridCol w:w="388"/>
        <w:gridCol w:w="393"/>
        <w:gridCol w:w="455"/>
        <w:gridCol w:w="455"/>
        <w:gridCol w:w="650"/>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Maryland</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ind w:left="0" w:right="0" w:hanging="45"/>
              <w:jc w:val="center"/>
              <w:rPr>
                <w:rFonts w:ascii="Times New Roman;serif" w:hAnsi="Times New Roman;serif"/>
                <w:b/>
                <w:color w:val="000000"/>
                <w:sz w:val="18"/>
              </w:rPr>
            </w:pPr>
            <w:r>
              <w:rPr>
                <w:rFonts w:ascii="Times New Roman;serif" w:hAnsi="Times New Roman;serif"/>
                <w:b/>
                <w:color w:val="000000"/>
                <w:sz w:val="18"/>
              </w:rPr>
              <w:t>001-35030</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27-3338708</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w:t>
              <w:br/>
              <w:t>of incorporation)</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(Commission </w:t>
              <w:br/>
              <w:t>File No.)</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(I.R.S. Employer </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3420 Carmel Mountain Road, Suite 100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San Diego, California 92121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and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(858) 350-2600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before="0" w:after="0"/>
        <w:jc w:val="center"/>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788"/>
        <w:gridCol w:w="693"/>
        <w:gridCol w:w="696"/>
        <w:gridCol w:w="1096"/>
        <w:gridCol w:w="1062"/>
        <w:gridCol w:w="1067"/>
        <w:gridCol w:w="452"/>
        <w:gridCol w:w="452"/>
        <w:gridCol w:w="454"/>
        <w:gridCol w:w="1008"/>
        <w:gridCol w:w="1007"/>
        <w:gridCol w:w="1430"/>
      </w:tblGrid>
      <w:tr>
        <w:trPr/>
        <w:tc>
          <w:tcPr>
            <w:tcW w:w="7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Registrant</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American Assets Trust, Inc.</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AAT</w:t>
            </w:r>
          </w:p>
        </w:tc>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40" w:after="40"/>
        <w:jc w:val="left"/>
        <w:rPr/>
      </w:pPr>
      <w:r>
        <w:rPr/>
      </w:r>
    </w:p>
    <w:p>
      <w:pPr>
        <w:pStyle w:val="TextBody"/>
        <w:bidi w:val="0"/>
        <w:spacing w:lineRule="auto" w:line="288" w:before="40" w:after="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77520"/>
                <wp:effectExtent l="0" t="0" r="0" b="0"/>
                <wp:wrapNone/>
                <wp:docPr id="2" name="Frame1"/>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200"/>
                              <w:jc w:val="right"/>
                              <w:rPr/>
                            </w:pPr>
                            <w:r>
                              <w:rPr/>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right"/>
                        <w:rPr/>
                      </w:pPr>
                      <w:r>
                        <w:rPr/>
                      </w:r>
                    </w:p>
                    <w:p>
                      <w:pPr>
                        <w:pStyle w:val="TextBody"/>
                        <w:bidi w:val="0"/>
                        <w:spacing w:before="0" w:after="20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June 1, 2026, American Assets Trust, Inc. (the “Company”) held its 2026 Annual Meeting of Stockholders, in which the stockholders voted on proposals as follows: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Proposal No. 1: </w:t>
      </w:r>
      <w:r>
        <w:rPr>
          <w:rFonts w:ascii="Times New Roman;serif" w:hAnsi="Times New Roman;serif"/>
          <w:b w:val="false"/>
          <w:color w:val="000000"/>
          <w:sz w:val="20"/>
        </w:rPr>
        <w:t xml:space="preserve">The election of five directors, each to serve until the next annual meeting of stockholders in 2027 or until his or her successor is duly elected and qualified. </w:t>
      </w:r>
    </w:p>
    <w:p>
      <w:pPr>
        <w:pStyle w:val="TextBody"/>
        <w:bidi w:val="0"/>
        <w:spacing w:before="0" w:after="0"/>
        <w:jc w:val="left"/>
        <w:rPr/>
      </w:pPr>
      <w:r>
        <w:rPr/>
      </w:r>
    </w:p>
    <w:tbl>
      <w:tblPr>
        <w:tblW w:w="5020" w:type="dxa"/>
        <w:jc w:val="left"/>
        <w:tblInd w:w="0" w:type="dxa"/>
        <w:tblLayout w:type="fixed"/>
        <w:tblCellMar>
          <w:top w:w="28" w:type="dxa"/>
          <w:left w:w="28" w:type="dxa"/>
          <w:bottom w:w="28" w:type="dxa"/>
          <w:right w:w="28" w:type="dxa"/>
        </w:tblCellMar>
      </w:tblPr>
      <w:tblGrid>
        <w:gridCol w:w="684"/>
        <w:gridCol w:w="601"/>
        <w:gridCol w:w="605"/>
        <w:gridCol w:w="109"/>
        <w:gridCol w:w="109"/>
        <w:gridCol w:w="109"/>
        <w:gridCol w:w="344"/>
        <w:gridCol w:w="344"/>
        <w:gridCol w:w="348"/>
        <w:gridCol w:w="109"/>
        <w:gridCol w:w="109"/>
        <w:gridCol w:w="109"/>
        <w:gridCol w:w="421"/>
        <w:gridCol w:w="421"/>
        <w:gridCol w:w="598"/>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Nominee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Withheld</w:t>
            </w:r>
          </w:p>
        </w:tc>
      </w:tr>
      <w:tr>
        <w:trPr/>
        <w:tc>
          <w:tcPr>
            <w:tcW w:w="1890" w:type="dxa"/>
            <w:gridSpan w:val="3"/>
            <w:tcBorders>
              <w:top w:val="single" w:sz="8" w:space="0" w:color="000000"/>
            </w:tcBorders>
            <w:shd w:fill="CBCBC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Ernest S. Rady</w:t>
            </w:r>
          </w:p>
        </w:tc>
        <w:tc>
          <w:tcPr>
            <w:tcW w:w="327" w:type="dxa"/>
            <w:gridSpan w:val="3"/>
            <w:tcBorders>
              <w:top w:val="single" w:sz="8" w:space="0" w:color="000000"/>
            </w:tcBorders>
            <w:shd w:fill="CBCBC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BCBC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54,216,994</w:t>
            </w:r>
          </w:p>
        </w:tc>
        <w:tc>
          <w:tcPr>
            <w:tcW w:w="327" w:type="dxa"/>
            <w:gridSpan w:val="3"/>
            <w:tcBorders>
              <w:top w:val="single" w:sz="8" w:space="0" w:color="000000"/>
            </w:tcBorders>
            <w:shd w:fill="CBCBC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BCBC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2,102,205</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S. Olinger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54,740,520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1,578,679</w:t>
            </w:r>
          </w:p>
        </w:tc>
      </w:tr>
      <w:tr>
        <w:trPr/>
        <w:tc>
          <w:tcPr>
            <w:tcW w:w="1890" w:type="dxa"/>
            <w:gridSpan w:val="3"/>
            <w:tcBorders/>
            <w:shd w:fill="CBCBC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Joy L. Schaefer</w:t>
            </w:r>
          </w:p>
        </w:tc>
        <w:tc>
          <w:tcPr>
            <w:tcW w:w="327" w:type="dxa"/>
            <w:gridSpan w:val="3"/>
            <w:tcBorders/>
            <w:shd w:fill="CBCBC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BCBC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35,305,627</w:t>
            </w:r>
          </w:p>
        </w:tc>
        <w:tc>
          <w:tcPr>
            <w:tcW w:w="327" w:type="dxa"/>
            <w:gridSpan w:val="3"/>
            <w:tcBorders/>
            <w:shd w:fill="CBCBC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BCBC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21,013,572</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Robert S. Sullivan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42,958,854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13,360,345</w:t>
            </w:r>
          </w:p>
        </w:tc>
      </w:tr>
      <w:tr>
        <w:trPr/>
        <w:tc>
          <w:tcPr>
            <w:tcW w:w="1890" w:type="dxa"/>
            <w:gridSpan w:val="3"/>
            <w:tcBorders/>
            <w:shd w:fill="CBCBC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A. Tanz</w:t>
            </w:r>
          </w:p>
        </w:tc>
        <w:tc>
          <w:tcPr>
            <w:tcW w:w="327" w:type="dxa"/>
            <w:gridSpan w:val="3"/>
            <w:tcBorders/>
            <w:shd w:fill="CBCBC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BCBC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55,581,052</w:t>
            </w:r>
          </w:p>
        </w:tc>
        <w:tc>
          <w:tcPr>
            <w:tcW w:w="327" w:type="dxa"/>
            <w:gridSpan w:val="3"/>
            <w:tcBorders/>
            <w:shd w:fill="CBCBC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BCBC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738,147</w:t>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1,310,343 broker non-votes and no abstentions in connection with Proposal No. 1. Each of the preceding five directors was elected to our board of directors to serve until the next annual meeting of stockholders in 2027 or until his or her respective successors are duly elected and qualified.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Proposal No. 2: </w:t>
      </w:r>
      <w:r>
        <w:rPr>
          <w:rFonts w:ascii="Times New Roman;serif" w:hAnsi="Times New Roman;serif"/>
          <w:b w:val="false"/>
          <w:color w:val="000000"/>
          <w:sz w:val="20"/>
        </w:rPr>
        <w:t>The ratification of the appointment Erns</w:t>
      </w:r>
      <w:r>
        <w:rPr>
          <w:rFonts w:ascii="Times New Roman;serif" w:hAnsi="Times New Roman;serif"/>
          <w:b w:val="false"/>
          <w:color w:val="000000"/>
          <w:sz w:val="20"/>
          <w:shd w:fill="FFFFFF" w:val="clear"/>
        </w:rPr>
        <w:t>t &amp; Young LLP as the Company’s independent registered public accounting firm for the year ending December 31, 2026.</w:t>
      </w:r>
    </w:p>
    <w:p>
      <w:pPr>
        <w:pStyle w:val="TextBody"/>
        <w:bidi w:val="0"/>
        <w:spacing w:before="0" w:after="0"/>
        <w:jc w:val="left"/>
        <w:rPr/>
      </w:pPr>
      <w:r>
        <w:rPr/>
      </w:r>
    </w:p>
    <w:tbl>
      <w:tblPr>
        <w:tblW w:w="4090"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29"/>
        <w:gridCol w:w="329"/>
        <w:gridCol w:w="468"/>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r>
      <w:tr>
        <w:trPr/>
        <w:tc>
          <w:tcPr>
            <w:tcW w:w="1051" w:type="dxa"/>
            <w:gridSpan w:val="3"/>
            <w:tcBorders>
              <w:top w:val="single" w:sz="8" w:space="0" w:color="000000"/>
            </w:tcBorders>
            <w:shd w:fill="CBCBC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57,349,229</w:t>
            </w:r>
          </w:p>
        </w:tc>
        <w:tc>
          <w:tcPr>
            <w:tcW w:w="327" w:type="dxa"/>
            <w:gridSpan w:val="3"/>
            <w:tcBorders>
              <w:top w:val="single" w:sz="8" w:space="0" w:color="000000"/>
            </w:tcBorders>
            <w:shd w:fill="CBCBC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BCBC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251,445</w:t>
            </w:r>
          </w:p>
        </w:tc>
        <w:tc>
          <w:tcPr>
            <w:tcW w:w="327" w:type="dxa"/>
            <w:gridSpan w:val="3"/>
            <w:tcBorders>
              <w:top w:val="single" w:sz="8" w:space="0" w:color="000000"/>
            </w:tcBorders>
            <w:shd w:fill="CBCBC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BCBC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28,868</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broker non-votes in connection with Proposal No. 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color w:val="000000"/>
          <w:sz w:val="20"/>
        </w:rPr>
        <w:t xml:space="preserve">Proposal No. 3: </w:t>
      </w:r>
      <w:r>
        <w:rPr>
          <w:rFonts w:ascii="Times New Roman;serif" w:hAnsi="Times New Roman;serif"/>
          <w:b w:val="false"/>
          <w:color w:val="000000"/>
          <w:sz w:val="20"/>
        </w:rPr>
        <w:t>An advisory resolution to approve the Company’s executive compensation for the fiscal year ended December 31, 2025.</w:t>
      </w:r>
    </w:p>
    <w:p>
      <w:pPr>
        <w:pStyle w:val="TextBody"/>
        <w:bidi w:val="0"/>
        <w:spacing w:before="0" w:after="0"/>
        <w:jc w:val="left"/>
        <w:rPr/>
      </w:pPr>
      <w:r>
        <w:rPr/>
      </w:r>
    </w:p>
    <w:tbl>
      <w:tblPr>
        <w:tblW w:w="4090"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29"/>
        <w:gridCol w:w="329"/>
        <w:gridCol w:w="468"/>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r>
      <w:tr>
        <w:trPr/>
        <w:tc>
          <w:tcPr>
            <w:tcW w:w="1051" w:type="dxa"/>
            <w:gridSpan w:val="3"/>
            <w:tcBorders>
              <w:top w:val="single" w:sz="8" w:space="0" w:color="000000"/>
            </w:tcBorders>
            <w:shd w:fill="CBCBC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55,480,484</w:t>
            </w:r>
          </w:p>
        </w:tc>
        <w:tc>
          <w:tcPr>
            <w:tcW w:w="327" w:type="dxa"/>
            <w:gridSpan w:val="3"/>
            <w:tcBorders>
              <w:top w:val="single" w:sz="8" w:space="0" w:color="000000"/>
            </w:tcBorders>
            <w:shd w:fill="CBCBC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BCBC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792,002</w:t>
            </w:r>
          </w:p>
        </w:tc>
        <w:tc>
          <w:tcPr>
            <w:tcW w:w="327" w:type="dxa"/>
            <w:gridSpan w:val="3"/>
            <w:tcBorders>
              <w:top w:val="single" w:sz="8" w:space="0" w:color="000000"/>
            </w:tcBorders>
            <w:shd w:fill="CBCBC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BCBC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46,713</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1,310,343 broker non-votes in connection with Proposal No.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362" w:type="dxa"/>
        <w:jc w:val="left"/>
        <w:tblInd w:w="0" w:type="dxa"/>
        <w:tblLayout w:type="fixed"/>
        <w:tblCellMar>
          <w:top w:w="28" w:type="dxa"/>
          <w:left w:w="28" w:type="dxa"/>
          <w:bottom w:w="28" w:type="dxa"/>
          <w:right w:w="28" w:type="dxa"/>
        </w:tblCellMar>
      </w:tblPr>
      <w:tblGrid>
        <w:gridCol w:w="417"/>
        <w:gridCol w:w="368"/>
        <w:gridCol w:w="370"/>
        <w:gridCol w:w="484"/>
        <w:gridCol w:w="484"/>
        <w:gridCol w:w="484"/>
        <w:gridCol w:w="513"/>
        <w:gridCol w:w="513"/>
        <w:gridCol w:w="729"/>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6"/>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American Assets Trust, Inc.</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 Adam Wyll</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6"/>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Adam Wyll</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522"/>
        <w:gridCol w:w="458"/>
        <w:gridCol w:w="460"/>
        <w:gridCol w:w="109"/>
        <w:gridCol w:w="109"/>
        <w:gridCol w:w="109"/>
        <w:gridCol w:w="2470"/>
        <w:gridCol w:w="2470"/>
        <w:gridCol w:w="3498"/>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3498"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200"/>
              <w:jc w:val="center"/>
              <w:rPr/>
            </w:pPr>
            <w:r>
              <w:rPr>
                <w:rFonts w:ascii="Times New Roman;serif" w:hAnsi="Times New Roman;serif"/>
                <w:b/>
                <w:color w:val="000000"/>
                <w:sz w:val="20"/>
                <w:u w:val="single"/>
              </w:rPr>
              <w:t>Exhibit</w:t>
            </w:r>
            <w:r>
              <w:rPr>
                <w:color w:val="000000"/>
              </w:rPr>
              <w:t xml:space="preserve"> </w:t>
            </w: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8" w:type="dxa"/>
            <w:gridSpan w:val="3"/>
            <w:tcBorders/>
            <w:tcMar>
              <w:top w:w="0" w:type="dxa"/>
              <w:left w:w="0" w:type="dxa"/>
              <w:bottom w:w="0" w:type="dxa"/>
              <w:right w:w="0" w:type="dxa"/>
            </w:tcMar>
            <w:vAlign w:val="center"/>
          </w:tcPr>
          <w:p>
            <w:pPr>
              <w:pStyle w:val="TableContents"/>
              <w:bidi w:val="0"/>
              <w:spacing w:lineRule="auto" w:line="240" w:before="0" w:after="200"/>
              <w:ind w:left="0" w:right="0" w:firstLine="45"/>
              <w:jc w:val="left"/>
              <w:rPr>
                <w:rFonts w:ascii="Times New Roman;serif" w:hAnsi="Times New Roman;serif"/>
                <w:b/>
                <w:color w:val="000000"/>
                <w:sz w:val="20"/>
                <w:u w:val="single"/>
              </w:rPr>
            </w:pPr>
            <w:r>
              <w:rPr>
                <w:rFonts w:ascii="Times New Roman;serif" w:hAnsi="Times New Roman;serif"/>
                <w:b/>
                <w:color w:val="000000"/>
                <w:sz w:val="20"/>
                <w:u w:val="single"/>
              </w:rPr>
              <w:t>Exhibit Description</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_____________________</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3531</Characters>
  <CharactersWithSpaces>4102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